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434632" w14:textId="77777777" w:rsidR="00373842" w:rsidRPr="00DF7B8C" w:rsidRDefault="00373842" w:rsidP="00373842">
      <w:pPr>
        <w:jc w:val="center"/>
        <w:rPr>
          <w:b/>
          <w:bCs/>
          <w:sz w:val="32"/>
          <w:szCs w:val="32"/>
        </w:rPr>
      </w:pPr>
      <w:r w:rsidRPr="00E70445">
        <w:rPr>
          <w:b/>
          <w:bCs/>
          <w:sz w:val="32"/>
          <w:szCs w:val="32"/>
        </w:rPr>
        <w:t xml:space="preserve">Sample Letter of </w:t>
      </w:r>
      <w:r>
        <w:rPr>
          <w:b/>
          <w:bCs/>
          <w:sz w:val="32"/>
          <w:szCs w:val="32"/>
        </w:rPr>
        <w:t>Appeal</w:t>
      </w:r>
    </w:p>
    <w:p w14:paraId="29B18CD4" w14:textId="77777777" w:rsidR="00373842" w:rsidRPr="00DF7B8C" w:rsidRDefault="00373842" w:rsidP="00373842">
      <w:pPr>
        <w:pStyle w:val="Header"/>
        <w:rPr>
          <w:rFonts w:ascii="Aptos Narrow" w:hAnsi="Aptos Narrow"/>
          <w:b/>
          <w:bCs/>
          <w:sz w:val="18"/>
          <w:szCs w:val="18"/>
        </w:rPr>
      </w:pPr>
    </w:p>
    <w:tbl>
      <w:tblPr>
        <w:tblStyle w:val="TableGrid"/>
        <w:tblpPr w:leftFromText="180" w:rightFromText="180" w:vertAnchor="text" w:horzAnchor="margin" w:tblpY="-281"/>
        <w:tblW w:w="102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860"/>
        <w:gridCol w:w="5395"/>
      </w:tblGrid>
      <w:tr w:rsidR="00373842" w:rsidRPr="00147468" w14:paraId="725B8984" w14:textId="77777777" w:rsidTr="00E7665E">
        <w:tc>
          <w:tcPr>
            <w:tcW w:w="4860" w:type="dxa"/>
          </w:tcPr>
          <w:p w14:paraId="17CE8452" w14:textId="77777777" w:rsidR="00373842" w:rsidRDefault="00373842" w:rsidP="00E7665E">
            <w:pPr>
              <w:spacing w:after="60" w:line="280" w:lineRule="exact"/>
              <w:rPr>
                <w:rFonts w:ascii="Aptos Narrow" w:hAnsi="Aptos Narrow"/>
                <w:color w:val="FF40FF"/>
                <w:sz w:val="21"/>
                <w:szCs w:val="21"/>
              </w:rPr>
            </w:pPr>
          </w:p>
          <w:p w14:paraId="1B746787" w14:textId="678FEEF1" w:rsidR="00373842" w:rsidRPr="00147468" w:rsidRDefault="00373842" w:rsidP="00E7665E">
            <w:pPr>
              <w:spacing w:after="60" w:line="280" w:lineRule="exact"/>
              <w:rPr>
                <w:rFonts w:ascii="Aptos Narrow" w:hAnsi="Aptos Narrow"/>
                <w:color w:val="FF40FF"/>
                <w:sz w:val="21"/>
                <w:szCs w:val="21"/>
              </w:rPr>
            </w:pPr>
            <w:r w:rsidRPr="00147468">
              <w:rPr>
                <w:rFonts w:ascii="Aptos Narrow" w:hAnsi="Aptos Narrow"/>
                <w:color w:val="FF40FF"/>
                <w:sz w:val="21"/>
                <w:szCs w:val="21"/>
              </w:rPr>
              <w:t>[Date]</w:t>
            </w:r>
          </w:p>
          <w:p w14:paraId="5BB45698" w14:textId="77777777" w:rsidR="00373842" w:rsidRPr="00AA1075" w:rsidRDefault="00373842" w:rsidP="00E7665E">
            <w:pPr>
              <w:spacing w:after="60" w:line="280" w:lineRule="exact"/>
              <w:rPr>
                <w:rFonts w:ascii="Aptos Narrow" w:hAnsi="Aptos Narrow"/>
                <w:color w:val="000000" w:themeColor="text1"/>
                <w:sz w:val="21"/>
                <w:szCs w:val="21"/>
              </w:rPr>
            </w:pPr>
            <w:r w:rsidRPr="00AA1075">
              <w:rPr>
                <w:rFonts w:ascii="Aptos Narrow" w:hAnsi="Aptos Narrow"/>
                <w:color w:val="000000" w:themeColor="text1"/>
                <w:sz w:val="21"/>
                <w:szCs w:val="21"/>
              </w:rPr>
              <w:t>ATTN: Appeals Department</w:t>
            </w:r>
          </w:p>
          <w:p w14:paraId="306AFA09" w14:textId="77777777" w:rsidR="00373842" w:rsidRPr="00147468" w:rsidRDefault="00373842" w:rsidP="00E7665E">
            <w:pPr>
              <w:spacing w:after="60" w:line="280" w:lineRule="exact"/>
              <w:rPr>
                <w:rFonts w:ascii="Aptos Narrow" w:hAnsi="Aptos Narrow"/>
                <w:color w:val="FF40FF"/>
                <w:sz w:val="21"/>
                <w:szCs w:val="21"/>
              </w:rPr>
            </w:pPr>
            <w:r w:rsidRPr="00147468">
              <w:rPr>
                <w:rFonts w:ascii="Aptos Narrow" w:hAnsi="Aptos Narrow"/>
                <w:color w:val="FF40FF"/>
                <w:sz w:val="21"/>
                <w:szCs w:val="21"/>
              </w:rPr>
              <w:t>[Insurance company name]</w:t>
            </w:r>
          </w:p>
          <w:p w14:paraId="1306E591" w14:textId="77777777" w:rsidR="00373842" w:rsidRPr="00147468" w:rsidRDefault="00373842" w:rsidP="00E7665E">
            <w:pPr>
              <w:spacing w:after="60" w:line="280" w:lineRule="exact"/>
              <w:rPr>
                <w:rFonts w:ascii="Aptos Narrow" w:hAnsi="Aptos Narrow"/>
                <w:color w:val="FF40FF"/>
                <w:sz w:val="21"/>
                <w:szCs w:val="21"/>
              </w:rPr>
            </w:pPr>
            <w:r w:rsidRPr="00147468">
              <w:rPr>
                <w:rFonts w:ascii="Aptos Narrow" w:hAnsi="Aptos Narrow"/>
                <w:color w:val="FF40FF"/>
                <w:sz w:val="21"/>
                <w:szCs w:val="21"/>
              </w:rPr>
              <w:t>[Address]</w:t>
            </w:r>
          </w:p>
        </w:tc>
        <w:tc>
          <w:tcPr>
            <w:tcW w:w="5395" w:type="dxa"/>
          </w:tcPr>
          <w:p w14:paraId="4D3B830B" w14:textId="77777777" w:rsidR="00373842" w:rsidRDefault="00373842" w:rsidP="00E7665E">
            <w:pPr>
              <w:spacing w:after="60" w:line="280" w:lineRule="exact"/>
              <w:rPr>
                <w:rFonts w:ascii="Aptos Narrow" w:hAnsi="Aptos Narrow"/>
                <w:sz w:val="21"/>
                <w:szCs w:val="21"/>
              </w:rPr>
            </w:pPr>
          </w:p>
          <w:p w14:paraId="0AA1AB4B" w14:textId="56D57C7C" w:rsidR="00373842" w:rsidRPr="00147468" w:rsidRDefault="00373842" w:rsidP="00E7665E">
            <w:pPr>
              <w:spacing w:after="60" w:line="280" w:lineRule="exact"/>
              <w:rPr>
                <w:rFonts w:ascii="Aptos Narrow" w:hAnsi="Aptos Narrow"/>
                <w:sz w:val="21"/>
                <w:szCs w:val="21"/>
              </w:rPr>
            </w:pPr>
            <w:r w:rsidRPr="00147468">
              <w:rPr>
                <w:rFonts w:ascii="Aptos Narrow" w:hAnsi="Aptos Narrow"/>
                <w:sz w:val="21"/>
                <w:szCs w:val="21"/>
              </w:rPr>
              <w:t xml:space="preserve">Patient: </w:t>
            </w:r>
            <w:r w:rsidRPr="00147468">
              <w:rPr>
                <w:rFonts w:ascii="Aptos Narrow" w:hAnsi="Aptos Narrow"/>
                <w:color w:val="FF3FFF"/>
                <w:sz w:val="21"/>
                <w:szCs w:val="21"/>
              </w:rPr>
              <w:t>[Patient’s name]</w:t>
            </w:r>
          </w:p>
          <w:p w14:paraId="773517E3" w14:textId="77777777" w:rsidR="00373842" w:rsidRPr="00147468" w:rsidRDefault="00373842" w:rsidP="00E7665E">
            <w:pPr>
              <w:spacing w:after="60" w:line="280" w:lineRule="exact"/>
              <w:rPr>
                <w:rFonts w:ascii="Aptos Narrow" w:hAnsi="Aptos Narrow"/>
                <w:sz w:val="21"/>
                <w:szCs w:val="21"/>
              </w:rPr>
            </w:pPr>
            <w:r w:rsidRPr="00147468">
              <w:rPr>
                <w:rFonts w:ascii="Aptos Narrow" w:hAnsi="Aptos Narrow"/>
                <w:sz w:val="21"/>
                <w:szCs w:val="21"/>
              </w:rPr>
              <w:t xml:space="preserve">Date of birth: </w:t>
            </w:r>
            <w:r w:rsidRPr="00147468">
              <w:rPr>
                <w:rFonts w:ascii="Aptos Narrow" w:hAnsi="Aptos Narrow"/>
                <w:color w:val="FF40FF"/>
                <w:sz w:val="21"/>
                <w:szCs w:val="21"/>
              </w:rPr>
              <w:t>[Patient’s date of birth]</w:t>
            </w:r>
          </w:p>
          <w:p w14:paraId="4AE24FC8" w14:textId="77777777" w:rsidR="00373842" w:rsidRPr="00147468" w:rsidRDefault="00373842" w:rsidP="00E7665E">
            <w:pPr>
              <w:spacing w:after="60" w:line="280" w:lineRule="exact"/>
              <w:rPr>
                <w:rFonts w:ascii="Aptos Narrow" w:hAnsi="Aptos Narrow"/>
                <w:sz w:val="21"/>
                <w:szCs w:val="21"/>
              </w:rPr>
            </w:pPr>
            <w:r w:rsidRPr="00147468">
              <w:rPr>
                <w:rFonts w:ascii="Aptos Narrow" w:hAnsi="Aptos Narrow"/>
                <w:sz w:val="21"/>
                <w:szCs w:val="21"/>
              </w:rPr>
              <w:t xml:space="preserve">Insurance ID: </w:t>
            </w:r>
            <w:r w:rsidRPr="00147468">
              <w:rPr>
                <w:rFonts w:ascii="Aptos Narrow" w:hAnsi="Aptos Narrow"/>
                <w:color w:val="FF40FF"/>
                <w:sz w:val="21"/>
                <w:szCs w:val="21"/>
              </w:rPr>
              <w:t>[Patient’s insurance ID]</w:t>
            </w:r>
          </w:p>
          <w:p w14:paraId="671B9048" w14:textId="77777777" w:rsidR="00373842" w:rsidRPr="00147468" w:rsidRDefault="00373842" w:rsidP="00E7665E">
            <w:pPr>
              <w:spacing w:after="60" w:line="280" w:lineRule="exact"/>
              <w:rPr>
                <w:rFonts w:ascii="Aptos Narrow" w:hAnsi="Aptos Narrow"/>
                <w:sz w:val="21"/>
                <w:szCs w:val="21"/>
              </w:rPr>
            </w:pPr>
            <w:r w:rsidRPr="00147468">
              <w:rPr>
                <w:rFonts w:ascii="Aptos Narrow" w:hAnsi="Aptos Narrow"/>
                <w:sz w:val="21"/>
                <w:szCs w:val="21"/>
              </w:rPr>
              <w:t xml:space="preserve">Policy Group: </w:t>
            </w:r>
            <w:r w:rsidRPr="00147468">
              <w:rPr>
                <w:rFonts w:ascii="Aptos Narrow" w:hAnsi="Aptos Narrow"/>
                <w:color w:val="FF40FF"/>
                <w:sz w:val="21"/>
                <w:szCs w:val="21"/>
              </w:rPr>
              <w:t>[Patient’s group number]</w:t>
            </w:r>
          </w:p>
          <w:p w14:paraId="277B1830" w14:textId="77777777" w:rsidR="00373842" w:rsidRPr="00147468" w:rsidRDefault="00373842" w:rsidP="00E7665E">
            <w:pPr>
              <w:spacing w:after="60" w:line="280" w:lineRule="exact"/>
              <w:rPr>
                <w:rFonts w:ascii="Aptos Narrow" w:hAnsi="Aptos Narrow"/>
                <w:color w:val="FF40FF"/>
                <w:sz w:val="21"/>
                <w:szCs w:val="21"/>
                <w:lang w:val="es-ES"/>
              </w:rPr>
            </w:pPr>
            <w:r w:rsidRPr="00147468">
              <w:rPr>
                <w:rFonts w:ascii="Aptos Narrow" w:hAnsi="Aptos Narrow"/>
                <w:sz w:val="21"/>
                <w:szCs w:val="21"/>
                <w:lang w:val="es-ES"/>
              </w:rPr>
              <w:t>Diagnosis:</w:t>
            </w:r>
            <w:r w:rsidRPr="00147468">
              <w:rPr>
                <w:rFonts w:ascii="Aptos Narrow" w:hAnsi="Aptos Narrow"/>
                <w:color w:val="FF40FF"/>
                <w:sz w:val="21"/>
                <w:szCs w:val="21"/>
                <w:lang w:val="es-ES"/>
              </w:rPr>
              <w:t xml:space="preserve"> [</w:t>
            </w:r>
            <w:proofErr w:type="spellStart"/>
            <w:r w:rsidRPr="00147468">
              <w:rPr>
                <w:rFonts w:ascii="Aptos Narrow" w:hAnsi="Aptos Narrow"/>
                <w:color w:val="FF40FF"/>
                <w:sz w:val="21"/>
                <w:szCs w:val="21"/>
                <w:lang w:val="es-ES"/>
              </w:rPr>
              <w:t>Patient’s</w:t>
            </w:r>
            <w:proofErr w:type="spellEnd"/>
            <w:r w:rsidRPr="00147468">
              <w:rPr>
                <w:rFonts w:ascii="Aptos Narrow" w:hAnsi="Aptos Narrow"/>
                <w:color w:val="FF40FF"/>
                <w:sz w:val="21"/>
                <w:szCs w:val="21"/>
                <w:lang w:val="es-ES"/>
              </w:rPr>
              <w:t xml:space="preserve"> diagnosis (ICD-10: C34.XX)]</w:t>
            </w:r>
          </w:p>
          <w:p w14:paraId="385BB0D8" w14:textId="77777777" w:rsidR="00373842" w:rsidRPr="00DD1B50" w:rsidRDefault="00373842" w:rsidP="00E7665E">
            <w:pPr>
              <w:spacing w:after="60" w:line="280" w:lineRule="exact"/>
              <w:rPr>
                <w:rFonts w:ascii="Aptos Narrow" w:hAnsi="Aptos Narrow"/>
                <w:sz w:val="21"/>
                <w:szCs w:val="21"/>
              </w:rPr>
            </w:pPr>
            <w:r w:rsidRPr="00DD1B50">
              <w:rPr>
                <w:rFonts w:ascii="Aptos Narrow" w:hAnsi="Aptos Narrow"/>
                <w:sz w:val="21"/>
                <w:szCs w:val="21"/>
              </w:rPr>
              <w:t>Requested Treatment: IBTROZI</w:t>
            </w:r>
            <w:r>
              <w:rPr>
                <w:rFonts w:ascii="Aptos Narrow" w:hAnsi="Aptos Narrow"/>
                <w:sz w:val="21"/>
                <w:szCs w:val="21"/>
              </w:rPr>
              <w:t>®</w:t>
            </w:r>
            <w:r w:rsidRPr="00DD1B50">
              <w:rPr>
                <w:rFonts w:ascii="Aptos Narrow" w:hAnsi="Aptos Narrow"/>
                <w:sz w:val="21"/>
                <w:szCs w:val="21"/>
              </w:rPr>
              <w:t xml:space="preserve"> (</w:t>
            </w:r>
            <w:proofErr w:type="spellStart"/>
            <w:r w:rsidRPr="00DD1B50">
              <w:rPr>
                <w:rFonts w:ascii="Aptos Narrow" w:hAnsi="Aptos Narrow"/>
                <w:sz w:val="21"/>
                <w:szCs w:val="21"/>
              </w:rPr>
              <w:t>taletrectinib</w:t>
            </w:r>
            <w:proofErr w:type="spellEnd"/>
            <w:r w:rsidRPr="00DD1B50">
              <w:rPr>
                <w:rFonts w:ascii="Aptos Narrow" w:hAnsi="Aptos Narrow"/>
                <w:sz w:val="21"/>
                <w:szCs w:val="21"/>
              </w:rPr>
              <w:t>)</w:t>
            </w:r>
          </w:p>
          <w:p w14:paraId="309C2C48" w14:textId="77777777" w:rsidR="00373842" w:rsidRPr="00DD1B50" w:rsidRDefault="00373842" w:rsidP="00E7665E">
            <w:pPr>
              <w:spacing w:after="60" w:line="280" w:lineRule="exact"/>
              <w:rPr>
                <w:rFonts w:ascii="Aptos Narrow" w:hAnsi="Aptos Narrow"/>
                <w:sz w:val="21"/>
                <w:szCs w:val="21"/>
              </w:rPr>
            </w:pPr>
            <w:r w:rsidRPr="00DD1B50">
              <w:rPr>
                <w:rFonts w:ascii="Aptos Narrow" w:hAnsi="Aptos Narrow"/>
                <w:sz w:val="21"/>
                <w:szCs w:val="21"/>
              </w:rPr>
              <w:t xml:space="preserve">Denial Reference Number: </w:t>
            </w:r>
            <w:r w:rsidRPr="00DD1B50">
              <w:rPr>
                <w:rFonts w:ascii="Aptos Narrow" w:hAnsi="Aptos Narrow"/>
                <w:color w:val="FF3FFF"/>
                <w:sz w:val="21"/>
                <w:szCs w:val="21"/>
              </w:rPr>
              <w:t>[Denial number from insurer]</w:t>
            </w:r>
          </w:p>
        </w:tc>
      </w:tr>
    </w:tbl>
    <w:p w14:paraId="3CB7721B" w14:textId="77777777" w:rsidR="00373842" w:rsidRDefault="00373842" w:rsidP="00373842">
      <w:pPr>
        <w:spacing w:line="280" w:lineRule="exact"/>
        <w:rPr>
          <w:rFonts w:ascii="Aptos Narrow" w:hAnsi="Aptos Narrow"/>
          <w:sz w:val="21"/>
          <w:szCs w:val="21"/>
        </w:rPr>
      </w:pPr>
    </w:p>
    <w:p w14:paraId="64A157E3" w14:textId="77777777" w:rsidR="00373842" w:rsidRPr="00147468" w:rsidRDefault="00373842" w:rsidP="00373842">
      <w:pPr>
        <w:spacing w:line="280" w:lineRule="exact"/>
        <w:ind w:left="101"/>
        <w:rPr>
          <w:rFonts w:ascii="Aptos Narrow" w:hAnsi="Aptos Narrow"/>
          <w:sz w:val="21"/>
          <w:szCs w:val="21"/>
        </w:rPr>
      </w:pPr>
      <w:r w:rsidRPr="00147468">
        <w:rPr>
          <w:rFonts w:ascii="Aptos Narrow" w:hAnsi="Aptos Narrow"/>
          <w:sz w:val="21"/>
          <w:szCs w:val="21"/>
        </w:rPr>
        <w:t xml:space="preserve">Re: Appeal of coverage denial for </w:t>
      </w:r>
      <w:r w:rsidRPr="00147468">
        <w:rPr>
          <w:rFonts w:ascii="Aptos Narrow" w:hAnsi="Aptos Narrow"/>
          <w:color w:val="FF3FFF"/>
          <w:sz w:val="21"/>
          <w:szCs w:val="21"/>
        </w:rPr>
        <w:t>[</w:t>
      </w:r>
      <w:r>
        <w:rPr>
          <w:rFonts w:ascii="Aptos Narrow" w:hAnsi="Aptos Narrow"/>
          <w:color w:val="FF3FFF"/>
          <w:sz w:val="21"/>
          <w:szCs w:val="21"/>
        </w:rPr>
        <w:t>p</w:t>
      </w:r>
      <w:r w:rsidRPr="00147468">
        <w:rPr>
          <w:rFonts w:ascii="Aptos Narrow" w:hAnsi="Aptos Narrow"/>
          <w:color w:val="FF3FFF"/>
          <w:sz w:val="21"/>
          <w:szCs w:val="21"/>
        </w:rPr>
        <w:t xml:space="preserve">atient’s </w:t>
      </w:r>
      <w:r>
        <w:rPr>
          <w:rFonts w:ascii="Aptos Narrow" w:hAnsi="Aptos Narrow"/>
          <w:color w:val="FF3FFF"/>
          <w:sz w:val="21"/>
          <w:szCs w:val="21"/>
        </w:rPr>
        <w:t>n</w:t>
      </w:r>
      <w:r w:rsidRPr="00147468">
        <w:rPr>
          <w:rFonts w:ascii="Aptos Narrow" w:hAnsi="Aptos Narrow"/>
          <w:color w:val="FF3FFF"/>
          <w:sz w:val="21"/>
          <w:szCs w:val="21"/>
        </w:rPr>
        <w:t xml:space="preserve">ame] </w:t>
      </w:r>
    </w:p>
    <w:p w14:paraId="1CB596C1" w14:textId="77777777" w:rsidR="00373842" w:rsidRPr="00147468" w:rsidRDefault="00373842" w:rsidP="00373842">
      <w:pPr>
        <w:spacing w:after="80" w:line="280" w:lineRule="exact"/>
        <w:ind w:left="101"/>
        <w:rPr>
          <w:rFonts w:ascii="Aptos Narrow" w:hAnsi="Aptos Narrow"/>
          <w:sz w:val="21"/>
          <w:szCs w:val="21"/>
        </w:rPr>
      </w:pPr>
      <w:r w:rsidRPr="00147468">
        <w:rPr>
          <w:rFonts w:ascii="Aptos Narrow" w:hAnsi="Aptos Narrow"/>
          <w:sz w:val="21"/>
          <w:szCs w:val="21"/>
        </w:rPr>
        <w:t xml:space="preserve">Dear </w:t>
      </w:r>
      <w:r w:rsidRPr="00147468">
        <w:rPr>
          <w:rFonts w:ascii="Aptos Narrow" w:hAnsi="Aptos Narrow"/>
          <w:color w:val="FF40FF"/>
          <w:sz w:val="21"/>
          <w:szCs w:val="21"/>
        </w:rPr>
        <w:t>[Medical/Pharmacy Director]</w:t>
      </w:r>
      <w:r w:rsidRPr="00147468">
        <w:rPr>
          <w:rFonts w:ascii="Aptos Narrow" w:hAnsi="Aptos Narrow"/>
          <w:sz w:val="21"/>
          <w:szCs w:val="21"/>
        </w:rPr>
        <w:t>:</w:t>
      </w:r>
    </w:p>
    <w:p w14:paraId="7D65242E" w14:textId="0E362B4E" w:rsidR="00373842" w:rsidRDefault="00373842" w:rsidP="00373842">
      <w:pPr>
        <w:spacing w:after="200" w:line="280" w:lineRule="exact"/>
        <w:ind w:left="135"/>
        <w:rPr>
          <w:rFonts w:ascii="Aptos Narrow" w:hAnsi="Aptos Narrow"/>
          <w:sz w:val="21"/>
          <w:szCs w:val="21"/>
        </w:rPr>
      </w:pPr>
      <w:r>
        <w:rPr>
          <w:rFonts w:ascii="Aptos Narrow" w:hAnsi="Aptos Narrow"/>
          <w:sz w:val="21"/>
          <w:szCs w:val="21"/>
        </w:rPr>
        <w:t>I am writing this letter on behalf of</w:t>
      </w:r>
      <w:r w:rsidRPr="00147468">
        <w:rPr>
          <w:rFonts w:ascii="Aptos Narrow" w:hAnsi="Aptos Narrow"/>
          <w:sz w:val="21"/>
          <w:szCs w:val="21"/>
        </w:rPr>
        <w:t xml:space="preserve"> </w:t>
      </w:r>
      <w:r w:rsidRPr="00147468">
        <w:rPr>
          <w:rFonts w:ascii="Aptos Narrow" w:hAnsi="Aptos Narrow"/>
          <w:color w:val="FF40FF"/>
          <w:sz w:val="21"/>
          <w:szCs w:val="21"/>
        </w:rPr>
        <w:t>[</w:t>
      </w:r>
      <w:r>
        <w:rPr>
          <w:rFonts w:ascii="Aptos Narrow" w:hAnsi="Aptos Narrow"/>
          <w:color w:val="FF40FF"/>
          <w:sz w:val="21"/>
          <w:szCs w:val="21"/>
        </w:rPr>
        <w:t>p</w:t>
      </w:r>
      <w:r w:rsidRPr="00147468">
        <w:rPr>
          <w:rFonts w:ascii="Aptos Narrow" w:hAnsi="Aptos Narrow"/>
          <w:color w:val="FF40FF"/>
          <w:sz w:val="21"/>
          <w:szCs w:val="21"/>
        </w:rPr>
        <w:t xml:space="preserve">atient’s </w:t>
      </w:r>
      <w:r>
        <w:rPr>
          <w:rFonts w:ascii="Aptos Narrow" w:hAnsi="Aptos Narrow"/>
          <w:color w:val="FF40FF"/>
          <w:sz w:val="21"/>
          <w:szCs w:val="21"/>
        </w:rPr>
        <w:t>n</w:t>
      </w:r>
      <w:r w:rsidRPr="00147468">
        <w:rPr>
          <w:rFonts w:ascii="Aptos Narrow" w:hAnsi="Aptos Narrow"/>
          <w:color w:val="FF40FF"/>
          <w:sz w:val="21"/>
          <w:szCs w:val="21"/>
        </w:rPr>
        <w:t>ame]</w:t>
      </w:r>
      <w:r w:rsidRPr="00147468">
        <w:rPr>
          <w:rFonts w:ascii="Aptos Narrow" w:hAnsi="Aptos Narrow"/>
          <w:sz w:val="21"/>
          <w:szCs w:val="21"/>
        </w:rPr>
        <w:t xml:space="preserve"> </w:t>
      </w:r>
      <w:r>
        <w:rPr>
          <w:rFonts w:ascii="Aptos Narrow" w:hAnsi="Aptos Narrow"/>
          <w:sz w:val="21"/>
          <w:szCs w:val="21"/>
        </w:rPr>
        <w:t xml:space="preserve">to appeal a coverage denial for IBTROZI that was issued on </w:t>
      </w:r>
      <w:r w:rsidRPr="00835974">
        <w:rPr>
          <w:rFonts w:ascii="Aptos Narrow" w:hAnsi="Aptos Narrow"/>
          <w:color w:val="FF40FF"/>
          <w:sz w:val="21"/>
          <w:szCs w:val="21"/>
        </w:rPr>
        <w:t>[date]</w:t>
      </w:r>
      <w:r>
        <w:rPr>
          <w:rFonts w:ascii="Aptos Narrow" w:hAnsi="Aptos Narrow"/>
          <w:sz w:val="21"/>
          <w:szCs w:val="21"/>
        </w:rPr>
        <w:t xml:space="preserve">. </w:t>
      </w:r>
      <w:r w:rsidRPr="00147468">
        <w:rPr>
          <w:rFonts w:ascii="Aptos Narrow" w:hAnsi="Aptos Narrow"/>
          <w:sz w:val="21"/>
          <w:szCs w:val="21"/>
        </w:rPr>
        <w:t>IBTROZI</w:t>
      </w:r>
      <w:r>
        <w:rPr>
          <w:rFonts w:ascii="Aptos Narrow" w:hAnsi="Aptos Narrow"/>
          <w:sz w:val="21"/>
          <w:szCs w:val="21"/>
        </w:rPr>
        <w:t>® (</w:t>
      </w:r>
      <w:proofErr w:type="spellStart"/>
      <w:r>
        <w:rPr>
          <w:rFonts w:ascii="Aptos Narrow" w:hAnsi="Aptos Narrow"/>
          <w:sz w:val="21"/>
          <w:szCs w:val="21"/>
        </w:rPr>
        <w:t>taletrectinib</w:t>
      </w:r>
      <w:proofErr w:type="spellEnd"/>
      <w:r>
        <w:rPr>
          <w:rFonts w:ascii="Aptos Narrow" w:hAnsi="Aptos Narrow"/>
          <w:sz w:val="21"/>
          <w:szCs w:val="21"/>
        </w:rPr>
        <w:t>)</w:t>
      </w:r>
      <w:r w:rsidRPr="00147468">
        <w:rPr>
          <w:rFonts w:ascii="Aptos Narrow" w:hAnsi="Aptos Narrow"/>
          <w:sz w:val="21"/>
          <w:szCs w:val="21"/>
        </w:rPr>
        <w:t xml:space="preserve"> is </w:t>
      </w:r>
      <w:proofErr w:type="gramStart"/>
      <w:r>
        <w:rPr>
          <w:rFonts w:ascii="Aptos Narrow" w:hAnsi="Aptos Narrow"/>
          <w:sz w:val="21"/>
          <w:szCs w:val="21"/>
        </w:rPr>
        <w:t>a</w:t>
      </w:r>
      <w:proofErr w:type="gramEnd"/>
      <w:r>
        <w:rPr>
          <w:rFonts w:ascii="Aptos Narrow" w:hAnsi="Aptos Narrow"/>
          <w:sz w:val="21"/>
          <w:szCs w:val="21"/>
        </w:rPr>
        <w:t xml:space="preserve"> </w:t>
      </w:r>
      <w:r w:rsidRPr="00147468">
        <w:rPr>
          <w:rFonts w:ascii="Aptos Narrow" w:hAnsi="Aptos Narrow"/>
          <w:sz w:val="21"/>
          <w:szCs w:val="21"/>
        </w:rPr>
        <w:t xml:space="preserve">FDA-approved </w:t>
      </w:r>
      <w:r>
        <w:rPr>
          <w:rFonts w:ascii="Aptos Narrow" w:hAnsi="Aptos Narrow"/>
          <w:sz w:val="21"/>
          <w:szCs w:val="21"/>
        </w:rPr>
        <w:t xml:space="preserve">therapy indicated </w:t>
      </w:r>
      <w:r w:rsidRPr="00147468">
        <w:rPr>
          <w:rFonts w:ascii="Aptos Narrow" w:hAnsi="Aptos Narrow"/>
          <w:sz w:val="21"/>
          <w:szCs w:val="21"/>
        </w:rPr>
        <w:t xml:space="preserve">for </w:t>
      </w:r>
      <w:r>
        <w:rPr>
          <w:rFonts w:ascii="Aptos Narrow" w:hAnsi="Aptos Narrow"/>
          <w:sz w:val="21"/>
          <w:szCs w:val="21"/>
        </w:rPr>
        <w:t xml:space="preserve">adult </w:t>
      </w:r>
      <w:r w:rsidRPr="00147468">
        <w:rPr>
          <w:rFonts w:ascii="Aptos Narrow" w:hAnsi="Aptos Narrow"/>
          <w:sz w:val="21"/>
          <w:szCs w:val="21"/>
        </w:rPr>
        <w:t>patients with</w:t>
      </w:r>
      <w:r>
        <w:rPr>
          <w:rFonts w:ascii="Aptos Narrow" w:hAnsi="Aptos Narrow"/>
          <w:sz w:val="21"/>
          <w:szCs w:val="21"/>
        </w:rPr>
        <w:t xml:space="preserve"> locally advanced or </w:t>
      </w:r>
      <w:proofErr w:type="gramStart"/>
      <w:r>
        <w:rPr>
          <w:rFonts w:ascii="Aptos Narrow" w:hAnsi="Aptos Narrow"/>
          <w:sz w:val="21"/>
          <w:szCs w:val="21"/>
        </w:rPr>
        <w:t xml:space="preserve">metastatic </w:t>
      </w:r>
      <w:r w:rsidRPr="00147468">
        <w:rPr>
          <w:rFonts w:ascii="Aptos Narrow" w:hAnsi="Aptos Narrow"/>
          <w:sz w:val="21"/>
          <w:szCs w:val="21"/>
        </w:rPr>
        <w:t xml:space="preserve"> </w:t>
      </w:r>
      <w:r w:rsidRPr="00037653">
        <w:rPr>
          <w:rStyle w:val="normaltextrun"/>
          <w:rFonts w:ascii="Aptos Narrow" w:hAnsi="Aptos Narrow"/>
          <w:i/>
          <w:iCs/>
          <w:color w:val="000000"/>
          <w:sz w:val="21"/>
          <w:szCs w:val="21"/>
          <w:shd w:val="clear" w:color="auto" w:fill="FFFFFF"/>
        </w:rPr>
        <w:t>ROS</w:t>
      </w:r>
      <w:proofErr w:type="gramEnd"/>
      <w:r w:rsidRPr="00037653">
        <w:rPr>
          <w:rStyle w:val="normaltextrun"/>
          <w:rFonts w:ascii="Aptos Narrow" w:hAnsi="Aptos Narrow"/>
          <w:i/>
          <w:iCs/>
          <w:color w:val="000000"/>
          <w:sz w:val="21"/>
          <w:szCs w:val="21"/>
          <w:shd w:val="clear" w:color="auto" w:fill="FFFFFF"/>
        </w:rPr>
        <w:t>1</w:t>
      </w:r>
      <w:r w:rsidRPr="00147468">
        <w:rPr>
          <w:rStyle w:val="normaltextrun"/>
          <w:rFonts w:ascii="Aptos Narrow" w:hAnsi="Aptos Narrow"/>
          <w:color w:val="000000"/>
          <w:sz w:val="21"/>
          <w:szCs w:val="21"/>
          <w:shd w:val="clear" w:color="auto" w:fill="FFFFFF"/>
        </w:rPr>
        <w:t>-positive non-small cell lung cancer (NSCLC).</w:t>
      </w:r>
      <w:r>
        <w:rPr>
          <w:rStyle w:val="normaltextrun"/>
          <w:rFonts w:ascii="Aptos Narrow" w:hAnsi="Aptos Narrow"/>
          <w:color w:val="000000"/>
          <w:sz w:val="21"/>
          <w:szCs w:val="21"/>
          <w:shd w:val="clear" w:color="auto" w:fill="FFFFFF"/>
          <w:vertAlign w:val="superscript"/>
        </w:rPr>
        <w:t>1</w:t>
      </w:r>
      <w:r w:rsidRPr="00147468">
        <w:rPr>
          <w:rFonts w:ascii="Aptos Narrow" w:hAnsi="Aptos Narrow"/>
          <w:sz w:val="21"/>
          <w:szCs w:val="21"/>
        </w:rPr>
        <w:t xml:space="preserve"> </w:t>
      </w:r>
      <w:r>
        <w:rPr>
          <w:rFonts w:ascii="Aptos Narrow" w:hAnsi="Aptos Narrow"/>
          <w:sz w:val="21"/>
          <w:szCs w:val="21"/>
        </w:rPr>
        <w:t xml:space="preserve">The full prescribing information for IBTROZI can be accessed at </w:t>
      </w:r>
      <w:r w:rsidRPr="00835974">
        <w:rPr>
          <w:rFonts w:ascii="Aptos Narrow" w:hAnsi="Aptos Narrow"/>
          <w:sz w:val="21"/>
          <w:szCs w:val="21"/>
        </w:rPr>
        <w:t>https://ibtrozi-pi.com/IBTROZI_taletrectinib-prescribing-information.pdf</w:t>
      </w:r>
      <w:r w:rsidR="00736EC6">
        <w:rPr>
          <w:rFonts w:ascii="Aptos Narrow" w:hAnsi="Aptos Narrow"/>
          <w:sz w:val="21"/>
          <w:szCs w:val="21"/>
        </w:rPr>
        <w:t>.</w:t>
      </w:r>
    </w:p>
    <w:p w14:paraId="2C29F026" w14:textId="77777777" w:rsidR="00373842" w:rsidRPr="0086693A" w:rsidRDefault="00373842" w:rsidP="00373842">
      <w:pPr>
        <w:spacing w:after="80" w:line="280" w:lineRule="exact"/>
        <w:ind w:left="135"/>
        <w:rPr>
          <w:rFonts w:ascii="Aptos" w:hAnsi="Aptos"/>
          <w:b/>
          <w:bCs/>
          <w:sz w:val="21"/>
          <w:szCs w:val="21"/>
        </w:rPr>
      </w:pPr>
      <w:r w:rsidRPr="00147468">
        <w:rPr>
          <w:rFonts w:ascii="Aptos" w:hAnsi="Aptos"/>
          <w:b/>
          <w:bCs/>
          <w:sz w:val="21"/>
          <w:szCs w:val="21"/>
        </w:rPr>
        <w:t>Reason for Appeal</w:t>
      </w:r>
    </w:p>
    <w:p w14:paraId="5FEEA9CF" w14:textId="77777777" w:rsidR="00373842" w:rsidRDefault="00373842" w:rsidP="00373842">
      <w:pPr>
        <w:spacing w:after="200" w:line="280" w:lineRule="exact"/>
        <w:ind w:left="135"/>
        <w:rPr>
          <w:rFonts w:ascii="Aptos Narrow" w:hAnsi="Aptos Narrow"/>
          <w:sz w:val="21"/>
          <w:szCs w:val="21"/>
        </w:rPr>
      </w:pPr>
      <w:r>
        <w:rPr>
          <w:rFonts w:ascii="Aptos Narrow" w:hAnsi="Aptos Narrow"/>
          <w:sz w:val="21"/>
          <w:szCs w:val="21"/>
        </w:rPr>
        <w:t>The reason</w:t>
      </w:r>
      <w:r w:rsidRPr="009F61C8">
        <w:rPr>
          <w:rFonts w:ascii="Aptos Narrow" w:hAnsi="Aptos Narrow"/>
          <w:color w:val="FF40FF"/>
          <w:sz w:val="21"/>
          <w:szCs w:val="21"/>
        </w:rPr>
        <w:t>[s]</w:t>
      </w:r>
      <w:r>
        <w:rPr>
          <w:rFonts w:ascii="Aptos Narrow" w:hAnsi="Aptos Narrow"/>
          <w:sz w:val="21"/>
          <w:szCs w:val="21"/>
        </w:rPr>
        <w:t xml:space="preserve"> for denial of IBTROZI </w:t>
      </w:r>
      <w:r w:rsidRPr="009F61C8">
        <w:rPr>
          <w:rFonts w:ascii="Aptos Narrow" w:hAnsi="Aptos Narrow"/>
          <w:color w:val="FF40FF"/>
          <w:sz w:val="21"/>
          <w:szCs w:val="21"/>
        </w:rPr>
        <w:t>[is/are]</w:t>
      </w:r>
      <w:r>
        <w:rPr>
          <w:rFonts w:ascii="Aptos Narrow" w:hAnsi="Aptos Narrow"/>
          <w:sz w:val="21"/>
          <w:szCs w:val="21"/>
        </w:rPr>
        <w:t xml:space="preserve"> stated as </w:t>
      </w:r>
      <w:r w:rsidRPr="009F61C8">
        <w:rPr>
          <w:rFonts w:ascii="Aptos Narrow" w:hAnsi="Aptos Narrow"/>
          <w:color w:val="FF40FF"/>
          <w:sz w:val="21"/>
          <w:szCs w:val="21"/>
        </w:rPr>
        <w:t>[reason(s) for denial]</w:t>
      </w:r>
      <w:r>
        <w:rPr>
          <w:rFonts w:ascii="Aptos Narrow" w:hAnsi="Aptos Narrow"/>
          <w:sz w:val="21"/>
          <w:szCs w:val="21"/>
        </w:rPr>
        <w:t xml:space="preserve">. I disagree with this decision because </w:t>
      </w:r>
      <w:r w:rsidRPr="009F61C8">
        <w:rPr>
          <w:rFonts w:ascii="Aptos Narrow" w:hAnsi="Aptos Narrow"/>
          <w:color w:val="FF40FF"/>
          <w:sz w:val="21"/>
          <w:szCs w:val="21"/>
        </w:rPr>
        <w:t>[list reasons to disagree with denial]</w:t>
      </w:r>
      <w:r>
        <w:rPr>
          <w:rFonts w:ascii="Aptos Narrow" w:hAnsi="Aptos Narrow"/>
          <w:sz w:val="21"/>
          <w:szCs w:val="21"/>
        </w:rPr>
        <w:t xml:space="preserve">. </w:t>
      </w:r>
    </w:p>
    <w:p w14:paraId="61F55964" w14:textId="77777777" w:rsidR="00373842" w:rsidRPr="00147468" w:rsidRDefault="00373842" w:rsidP="00373842">
      <w:pPr>
        <w:spacing w:after="200" w:line="280" w:lineRule="exact"/>
        <w:ind w:left="135"/>
        <w:rPr>
          <w:rFonts w:ascii="Aptos Narrow" w:hAnsi="Aptos Narrow"/>
          <w:sz w:val="21"/>
          <w:szCs w:val="21"/>
        </w:rPr>
      </w:pPr>
      <w:r>
        <w:rPr>
          <w:rFonts w:ascii="Aptos Narrow" w:hAnsi="Aptos Narrow"/>
          <w:sz w:val="21"/>
          <w:szCs w:val="21"/>
        </w:rPr>
        <w:t xml:space="preserve">This letter and the attached documentation provide support for the use of IBTROZI for this patient. </w:t>
      </w:r>
    </w:p>
    <w:p w14:paraId="1C734073" w14:textId="77777777" w:rsidR="00373842" w:rsidRPr="0097050D" w:rsidRDefault="00373842" w:rsidP="00373842">
      <w:pPr>
        <w:spacing w:after="200" w:line="280" w:lineRule="exact"/>
        <w:ind w:left="135"/>
        <w:rPr>
          <w:rFonts w:ascii="Aptos" w:hAnsi="Aptos"/>
          <w:b/>
          <w:bCs/>
          <w:color w:val="FF40FF"/>
          <w:sz w:val="21"/>
          <w:szCs w:val="21"/>
        </w:rPr>
      </w:pPr>
      <w:r w:rsidRPr="0097050D">
        <w:rPr>
          <w:rFonts w:ascii="Aptos" w:hAnsi="Aptos"/>
          <w:b/>
          <w:bCs/>
          <w:color w:val="FF40FF"/>
          <w:sz w:val="21"/>
          <w:szCs w:val="21"/>
        </w:rPr>
        <w:t>[Include rationale for prescribing IBTROZI. Please see below for a summary of some key points that may be used to support treatment with IBTROZI. Clinical data should be relevant to your patient, and data and information included can be customized as needed.</w:t>
      </w:r>
    </w:p>
    <w:p w14:paraId="0C7C3D91" w14:textId="77777777" w:rsidR="00373842" w:rsidRPr="0097050D" w:rsidRDefault="00373842" w:rsidP="00373842">
      <w:pPr>
        <w:spacing w:after="200" w:line="280" w:lineRule="exact"/>
        <w:ind w:left="135"/>
        <w:rPr>
          <w:rFonts w:ascii="Aptos" w:hAnsi="Aptos"/>
          <w:b/>
          <w:bCs/>
          <w:color w:val="FF40FF"/>
          <w:sz w:val="21"/>
          <w:szCs w:val="21"/>
        </w:rPr>
      </w:pPr>
      <w:r>
        <w:rPr>
          <w:rFonts w:ascii="Aptos" w:hAnsi="Aptos"/>
          <w:b/>
          <w:bCs/>
          <w:color w:val="FF40FF"/>
          <w:sz w:val="21"/>
          <w:szCs w:val="21"/>
        </w:rPr>
        <w:t>Efficacy</w:t>
      </w:r>
    </w:p>
    <w:p w14:paraId="1552A996" w14:textId="59A8AF67" w:rsidR="00373842" w:rsidRPr="0049692B" w:rsidRDefault="00373842" w:rsidP="00373842">
      <w:pPr>
        <w:spacing w:after="200" w:line="280" w:lineRule="exact"/>
        <w:ind w:left="135"/>
        <w:rPr>
          <w:rFonts w:ascii="Aptos Narrow" w:hAnsi="Aptos Narrow"/>
          <w:color w:val="FF40FF"/>
          <w:sz w:val="21"/>
          <w:szCs w:val="21"/>
          <w:vertAlign w:val="superscript"/>
        </w:rPr>
      </w:pPr>
      <w:r w:rsidRPr="00C446D5">
        <w:rPr>
          <w:rFonts w:ascii="Aptos Narrow" w:hAnsi="Aptos Narrow"/>
          <w:color w:val="FF40FF"/>
          <w:sz w:val="21"/>
          <w:szCs w:val="21"/>
        </w:rPr>
        <w:t xml:space="preserve">The safety and efficacy of IBTROZI was established in TRUST-I and TRUST-II, both pivotal Phase 2 trials. The efficacy-evaluable population included 270 patients with </w:t>
      </w:r>
      <w:r w:rsidR="00715C14">
        <w:rPr>
          <w:rFonts w:ascii="Aptos Narrow" w:hAnsi="Aptos Narrow"/>
          <w:color w:val="FF40FF"/>
          <w:sz w:val="21"/>
          <w:szCs w:val="21"/>
        </w:rPr>
        <w:t xml:space="preserve">advanced </w:t>
      </w:r>
      <w:r w:rsidRPr="007D1E76">
        <w:rPr>
          <w:rFonts w:ascii="Aptos Narrow" w:hAnsi="Aptos Narrow"/>
          <w:i/>
          <w:iCs/>
          <w:color w:val="FF40FF"/>
          <w:sz w:val="21"/>
          <w:szCs w:val="21"/>
        </w:rPr>
        <w:t>ROS1</w:t>
      </w:r>
      <w:r w:rsidRPr="00C446D5">
        <w:rPr>
          <w:rFonts w:ascii="Aptos Narrow" w:hAnsi="Aptos Narrow"/>
          <w:color w:val="FF40FF"/>
          <w:sz w:val="21"/>
          <w:szCs w:val="21"/>
        </w:rPr>
        <w:t>+ NSCLC with ≥1 measurable lesion at baseline per RECIST v1.1 by BICR and who received ≥1 dose of taletrectinib.</w:t>
      </w:r>
      <w:r>
        <w:rPr>
          <w:rFonts w:ascii="Aptos Narrow" w:hAnsi="Aptos Narrow"/>
          <w:color w:val="FF40FF"/>
          <w:sz w:val="21"/>
          <w:szCs w:val="21"/>
          <w:vertAlign w:val="superscript"/>
        </w:rPr>
        <w:t>1,2</w:t>
      </w:r>
    </w:p>
    <w:p w14:paraId="1F40A507" w14:textId="230B3EF1" w:rsidR="00373842" w:rsidRPr="0097050D" w:rsidRDefault="004C6091" w:rsidP="00373842">
      <w:pPr>
        <w:spacing w:after="200" w:line="280" w:lineRule="exact"/>
        <w:ind w:left="135"/>
        <w:rPr>
          <w:rFonts w:ascii="Aptos Narrow" w:hAnsi="Aptos Narrow"/>
          <w:color w:val="FF40FF"/>
          <w:sz w:val="21"/>
          <w:szCs w:val="21"/>
        </w:rPr>
      </w:pPr>
      <w:r>
        <w:rPr>
          <w:rFonts w:ascii="Aptos Narrow" w:hAnsi="Aptos Narrow"/>
          <w:color w:val="FF40FF"/>
          <w:sz w:val="21"/>
          <w:szCs w:val="21"/>
        </w:rPr>
        <w:t xml:space="preserve">In TKI-naïve patients, </w:t>
      </w:r>
      <w:r w:rsidRPr="007C2108">
        <w:rPr>
          <w:rFonts w:ascii="Aptos Narrow" w:hAnsi="Aptos Narrow"/>
          <w:b/>
          <w:bCs/>
          <w:color w:val="FF40FF"/>
          <w:sz w:val="21"/>
          <w:szCs w:val="21"/>
        </w:rPr>
        <w:t xml:space="preserve">ORR was 90% (95% CI: 83-95) 85% PR, 5% CR </w:t>
      </w:r>
      <w:r w:rsidRPr="001A1AE2">
        <w:rPr>
          <w:rFonts w:ascii="Aptos Narrow" w:hAnsi="Aptos Narrow"/>
          <w:color w:val="FF40FF"/>
          <w:sz w:val="21"/>
          <w:szCs w:val="21"/>
        </w:rPr>
        <w:t>in TRUST-I</w:t>
      </w:r>
      <w:r>
        <w:rPr>
          <w:rFonts w:ascii="Aptos Narrow" w:hAnsi="Aptos Narrow"/>
          <w:color w:val="FF40FF"/>
          <w:sz w:val="21"/>
          <w:szCs w:val="21"/>
        </w:rPr>
        <w:t xml:space="preserve"> and </w:t>
      </w:r>
      <w:r w:rsidRPr="007C2108">
        <w:rPr>
          <w:rFonts w:ascii="Aptos Narrow" w:hAnsi="Aptos Narrow"/>
          <w:b/>
          <w:bCs/>
          <w:color w:val="FF40FF"/>
          <w:sz w:val="21"/>
          <w:szCs w:val="21"/>
        </w:rPr>
        <w:t xml:space="preserve">85% (95% CI: 73-93) 78% PR, 7% CR </w:t>
      </w:r>
      <w:r w:rsidRPr="001A1AE2">
        <w:rPr>
          <w:rFonts w:ascii="Aptos Narrow" w:hAnsi="Aptos Narrow"/>
          <w:color w:val="FF40FF"/>
          <w:sz w:val="21"/>
          <w:szCs w:val="21"/>
        </w:rPr>
        <w:t>in TRUST-II</w:t>
      </w:r>
      <w:r>
        <w:rPr>
          <w:rFonts w:ascii="Aptos Narrow" w:hAnsi="Aptos Narrow"/>
          <w:color w:val="FF40FF"/>
          <w:sz w:val="21"/>
          <w:szCs w:val="21"/>
        </w:rPr>
        <w:t xml:space="preserve">. </w:t>
      </w:r>
      <w:r w:rsidR="00373842" w:rsidRPr="00D96CA9">
        <w:rPr>
          <w:rFonts w:ascii="Aptos Narrow" w:hAnsi="Aptos Narrow"/>
          <w:color w:val="FF40FF"/>
          <w:sz w:val="21"/>
          <w:szCs w:val="21"/>
        </w:rPr>
        <w:t xml:space="preserve">Robust responses were demonstrated in patients who received prior TKI treatment: in TRUST-I the </w:t>
      </w:r>
      <w:r w:rsidR="00373842" w:rsidRPr="00D96CA9">
        <w:rPr>
          <w:rFonts w:ascii="Aptos Narrow" w:hAnsi="Aptos Narrow"/>
          <w:b/>
          <w:bCs/>
          <w:color w:val="FF40FF"/>
          <w:sz w:val="21"/>
          <w:szCs w:val="21"/>
        </w:rPr>
        <w:t>ORR was 52% (95% CI: 39–64) 52% PR, 0% CR</w:t>
      </w:r>
      <w:r w:rsidR="00373842" w:rsidRPr="00D96CA9">
        <w:rPr>
          <w:rFonts w:ascii="Aptos Narrow" w:hAnsi="Aptos Narrow"/>
          <w:color w:val="FF40FF"/>
          <w:sz w:val="21"/>
          <w:szCs w:val="21"/>
        </w:rPr>
        <w:t xml:space="preserve">, and in TRUST-II the </w:t>
      </w:r>
      <w:r w:rsidR="00373842" w:rsidRPr="00D96CA9">
        <w:rPr>
          <w:rFonts w:ascii="Aptos Narrow" w:hAnsi="Aptos Narrow"/>
          <w:b/>
          <w:bCs/>
          <w:color w:val="FF40FF"/>
          <w:sz w:val="21"/>
          <w:szCs w:val="21"/>
        </w:rPr>
        <w:t>ORR was 62% (95% CI: 46–75) 51% PR, 11% CR</w:t>
      </w:r>
      <w:r w:rsidR="00373842">
        <w:rPr>
          <w:rFonts w:ascii="Aptos Narrow" w:hAnsi="Aptos Narrow"/>
          <w:color w:val="FF40FF"/>
          <w:sz w:val="21"/>
          <w:szCs w:val="21"/>
        </w:rPr>
        <w:t>.</w:t>
      </w:r>
      <w:r w:rsidR="00373842">
        <w:rPr>
          <w:rFonts w:ascii="Aptos Narrow" w:hAnsi="Aptos Narrow"/>
          <w:color w:val="FF40FF"/>
          <w:sz w:val="21"/>
          <w:szCs w:val="21"/>
          <w:vertAlign w:val="superscript"/>
        </w:rPr>
        <w:t>1</w:t>
      </w:r>
      <w:r w:rsidR="00373842" w:rsidRPr="0097050D">
        <w:rPr>
          <w:rFonts w:ascii="Aptos Narrow" w:hAnsi="Aptos Narrow"/>
          <w:color w:val="FF40FF"/>
          <w:sz w:val="21"/>
          <w:szCs w:val="21"/>
        </w:rPr>
        <w:t xml:space="preserve"> </w:t>
      </w:r>
    </w:p>
    <w:p w14:paraId="0E07C69A" w14:textId="745E9E53" w:rsidR="00373842" w:rsidRPr="00A5068A" w:rsidRDefault="00AD27DE" w:rsidP="00373842">
      <w:pPr>
        <w:spacing w:after="200" w:line="280" w:lineRule="exact"/>
        <w:ind w:left="135"/>
        <w:rPr>
          <w:rFonts w:ascii="Aptos Narrow" w:hAnsi="Aptos Narrow"/>
          <w:color w:val="FF40FF"/>
          <w:sz w:val="21"/>
          <w:szCs w:val="21"/>
          <w:vertAlign w:val="superscript"/>
        </w:rPr>
      </w:pPr>
      <w:r>
        <w:rPr>
          <w:rFonts w:ascii="Aptos Narrow" w:hAnsi="Aptos Narrow"/>
          <w:color w:val="FF40FF"/>
          <w:sz w:val="21"/>
          <w:szCs w:val="21"/>
        </w:rPr>
        <w:t xml:space="preserve">CNS activity and response was observed in </w:t>
      </w:r>
      <w:r w:rsidR="008B2C37">
        <w:rPr>
          <w:rFonts w:ascii="Aptos Narrow" w:hAnsi="Aptos Narrow"/>
          <w:color w:val="FF40FF"/>
          <w:sz w:val="21"/>
          <w:szCs w:val="21"/>
        </w:rPr>
        <w:t>TKI-naïve patient</w:t>
      </w:r>
      <w:r w:rsidR="006308E4">
        <w:rPr>
          <w:rFonts w:ascii="Aptos Narrow" w:hAnsi="Aptos Narrow"/>
          <w:color w:val="FF40FF"/>
          <w:sz w:val="21"/>
          <w:szCs w:val="21"/>
        </w:rPr>
        <w:t xml:space="preserve">s. In TRUST-I and TRUST-II, </w:t>
      </w:r>
      <w:r w:rsidR="00112218" w:rsidRPr="000A6AD5">
        <w:rPr>
          <w:rFonts w:ascii="Aptos Narrow" w:hAnsi="Aptos Narrow"/>
          <w:b/>
          <w:bCs/>
          <w:color w:val="FF40FF"/>
          <w:sz w:val="21"/>
          <w:szCs w:val="21"/>
        </w:rPr>
        <w:t>73% (n=11/15) of patients with CNS met</w:t>
      </w:r>
      <w:r w:rsidR="00E07E1E" w:rsidRPr="000A6AD5">
        <w:rPr>
          <w:rFonts w:ascii="Aptos Narrow" w:hAnsi="Aptos Narrow"/>
          <w:b/>
          <w:bCs/>
          <w:color w:val="FF40FF"/>
          <w:sz w:val="21"/>
          <w:szCs w:val="21"/>
        </w:rPr>
        <w:t>astases saw an intracranial response</w:t>
      </w:r>
      <w:r w:rsidR="00E07E1E">
        <w:rPr>
          <w:rFonts w:ascii="Aptos Narrow" w:hAnsi="Aptos Narrow"/>
          <w:color w:val="FF40FF"/>
          <w:sz w:val="21"/>
          <w:szCs w:val="21"/>
        </w:rPr>
        <w:t xml:space="preserve">. </w:t>
      </w:r>
      <w:r w:rsidR="00373842" w:rsidRPr="004546B1">
        <w:rPr>
          <w:rFonts w:ascii="Aptos Narrow" w:hAnsi="Aptos Narrow"/>
          <w:color w:val="FF40FF"/>
          <w:sz w:val="21"/>
          <w:szCs w:val="21"/>
        </w:rPr>
        <w:t xml:space="preserve">CNS activity and response was </w:t>
      </w:r>
      <w:r w:rsidR="000A6AD5">
        <w:rPr>
          <w:rFonts w:ascii="Aptos Narrow" w:hAnsi="Aptos Narrow"/>
          <w:color w:val="FF40FF"/>
          <w:sz w:val="21"/>
          <w:szCs w:val="21"/>
        </w:rPr>
        <w:t xml:space="preserve">also </w:t>
      </w:r>
      <w:r w:rsidR="00373842" w:rsidRPr="004546B1">
        <w:rPr>
          <w:rFonts w:ascii="Aptos Narrow" w:hAnsi="Aptos Narrow"/>
          <w:color w:val="FF40FF"/>
          <w:sz w:val="21"/>
          <w:szCs w:val="21"/>
        </w:rPr>
        <w:t xml:space="preserve">observed in </w:t>
      </w:r>
      <w:r w:rsidR="007410AB">
        <w:rPr>
          <w:rFonts w:ascii="Aptos Narrow" w:hAnsi="Aptos Narrow"/>
          <w:color w:val="FF40FF"/>
          <w:sz w:val="21"/>
          <w:szCs w:val="21"/>
        </w:rPr>
        <w:t>TKI pre</w:t>
      </w:r>
      <w:r w:rsidR="00373842" w:rsidRPr="004546B1">
        <w:rPr>
          <w:rFonts w:ascii="Aptos Narrow" w:hAnsi="Aptos Narrow"/>
          <w:color w:val="FF40FF"/>
          <w:sz w:val="21"/>
          <w:szCs w:val="21"/>
        </w:rPr>
        <w:t xml:space="preserve">treated patients. In TRUST-I and TRUST-II, </w:t>
      </w:r>
      <w:r w:rsidR="00373842" w:rsidRPr="004546B1">
        <w:rPr>
          <w:rFonts w:ascii="Aptos Narrow" w:hAnsi="Aptos Narrow"/>
          <w:b/>
          <w:bCs/>
          <w:color w:val="FF40FF"/>
          <w:sz w:val="21"/>
          <w:szCs w:val="21"/>
        </w:rPr>
        <w:t>63% (n=15/24) of patients with CNS metastases saw an intracranial response</w:t>
      </w:r>
      <w:r w:rsidR="00373842" w:rsidRPr="004546B1">
        <w:rPr>
          <w:rFonts w:ascii="Aptos Narrow" w:hAnsi="Aptos Narrow"/>
          <w:color w:val="FF40FF"/>
          <w:sz w:val="21"/>
          <w:szCs w:val="21"/>
        </w:rPr>
        <w:t xml:space="preserve"> and </w:t>
      </w:r>
      <w:r w:rsidR="00373842" w:rsidRPr="004546B1">
        <w:rPr>
          <w:rFonts w:ascii="Aptos Narrow" w:hAnsi="Aptos Narrow"/>
          <w:b/>
          <w:bCs/>
          <w:color w:val="FF40FF"/>
          <w:sz w:val="21"/>
          <w:szCs w:val="21"/>
        </w:rPr>
        <w:t>53% (n=8/15) of patients with acquired resistance mutations saw a response.</w:t>
      </w:r>
      <w:r w:rsidR="00373842" w:rsidRPr="00BA3BC3">
        <w:rPr>
          <w:rFonts w:ascii="Aptos Narrow" w:hAnsi="Aptos Narrow"/>
          <w:color w:val="FF40FF"/>
          <w:sz w:val="21"/>
          <w:szCs w:val="21"/>
          <w:vertAlign w:val="superscript"/>
        </w:rPr>
        <w:t>1</w:t>
      </w:r>
    </w:p>
    <w:p w14:paraId="0D2A4B2B" w14:textId="77777777" w:rsidR="00FC6511" w:rsidRDefault="00FC6511" w:rsidP="00373842">
      <w:pPr>
        <w:spacing w:after="200" w:line="280" w:lineRule="exact"/>
        <w:ind w:left="135"/>
        <w:rPr>
          <w:rFonts w:ascii="Aptos" w:hAnsi="Aptos"/>
          <w:b/>
          <w:bCs/>
          <w:color w:val="FF40FF"/>
          <w:sz w:val="21"/>
          <w:szCs w:val="21"/>
        </w:rPr>
      </w:pPr>
    </w:p>
    <w:p w14:paraId="4FFC8363" w14:textId="77777777" w:rsidR="00FC6511" w:rsidRDefault="00FC6511" w:rsidP="00373842">
      <w:pPr>
        <w:spacing w:after="200" w:line="280" w:lineRule="exact"/>
        <w:ind w:left="135"/>
        <w:rPr>
          <w:rFonts w:ascii="Aptos" w:hAnsi="Aptos"/>
          <w:b/>
          <w:bCs/>
          <w:color w:val="FF40FF"/>
          <w:sz w:val="21"/>
          <w:szCs w:val="21"/>
        </w:rPr>
      </w:pPr>
    </w:p>
    <w:p w14:paraId="5B5AB93E" w14:textId="2A92776E" w:rsidR="00373842" w:rsidRPr="0097050D" w:rsidRDefault="00373842" w:rsidP="00373842">
      <w:pPr>
        <w:spacing w:after="200" w:line="280" w:lineRule="exact"/>
        <w:ind w:left="135"/>
        <w:rPr>
          <w:rFonts w:ascii="Aptos" w:hAnsi="Aptos"/>
          <w:b/>
          <w:bCs/>
          <w:color w:val="FF40FF"/>
          <w:sz w:val="21"/>
          <w:szCs w:val="21"/>
        </w:rPr>
      </w:pPr>
      <w:r w:rsidRPr="0097050D">
        <w:rPr>
          <w:rFonts w:ascii="Aptos" w:hAnsi="Aptos"/>
          <w:b/>
          <w:bCs/>
          <w:color w:val="FF40FF"/>
          <w:sz w:val="21"/>
          <w:szCs w:val="21"/>
        </w:rPr>
        <w:lastRenderedPageBreak/>
        <w:t>Safety</w:t>
      </w:r>
    </w:p>
    <w:p w14:paraId="42815B50" w14:textId="77777777" w:rsidR="00373842" w:rsidRPr="00A5068A" w:rsidRDefault="00373842" w:rsidP="00373842">
      <w:pPr>
        <w:spacing w:after="200" w:line="280" w:lineRule="exact"/>
        <w:ind w:left="135"/>
        <w:rPr>
          <w:rFonts w:ascii="Aptos Narrow" w:hAnsi="Aptos Narrow"/>
          <w:color w:val="FF40FF"/>
          <w:sz w:val="21"/>
          <w:szCs w:val="21"/>
          <w:vertAlign w:val="superscript"/>
        </w:rPr>
      </w:pPr>
      <w:r w:rsidRPr="008C0334">
        <w:rPr>
          <w:rFonts w:ascii="Aptos Narrow" w:hAnsi="Aptos Narrow"/>
          <w:color w:val="FF40FF"/>
          <w:sz w:val="21"/>
          <w:szCs w:val="21"/>
        </w:rPr>
        <w:t xml:space="preserve">A pooled safety population (N=352) included 337 patients with </w:t>
      </w:r>
      <w:r w:rsidRPr="00FC5C58">
        <w:rPr>
          <w:rFonts w:ascii="Aptos Narrow" w:hAnsi="Aptos Narrow"/>
          <w:i/>
          <w:iCs/>
          <w:color w:val="FF40FF"/>
          <w:sz w:val="21"/>
          <w:szCs w:val="21"/>
        </w:rPr>
        <w:t>ROS1</w:t>
      </w:r>
      <w:r w:rsidRPr="008C0334">
        <w:rPr>
          <w:rFonts w:ascii="Aptos Narrow" w:hAnsi="Aptos Narrow"/>
          <w:color w:val="FF40FF"/>
          <w:sz w:val="21"/>
          <w:szCs w:val="21"/>
        </w:rPr>
        <w:t>+ NSCLC and 15 patients with (other) solid tumors who received IBTROZI 600 mg once daily.</w:t>
      </w:r>
      <w:r>
        <w:rPr>
          <w:rFonts w:ascii="Aptos Narrow" w:hAnsi="Aptos Narrow"/>
          <w:color w:val="FF40FF"/>
          <w:sz w:val="21"/>
          <w:szCs w:val="21"/>
          <w:vertAlign w:val="superscript"/>
        </w:rPr>
        <w:t>1</w:t>
      </w:r>
    </w:p>
    <w:p w14:paraId="7798D317" w14:textId="27495989" w:rsidR="00373842" w:rsidRPr="0019128F" w:rsidRDefault="00220270" w:rsidP="00373842">
      <w:pPr>
        <w:spacing w:after="200" w:line="280" w:lineRule="exact"/>
        <w:ind w:left="135"/>
        <w:rPr>
          <w:rFonts w:ascii="Aptos Narrow" w:hAnsi="Aptos Narrow"/>
          <w:color w:val="FF40FF"/>
          <w:sz w:val="21"/>
          <w:szCs w:val="21"/>
          <w:vertAlign w:val="superscript"/>
        </w:rPr>
      </w:pPr>
      <w:r>
        <w:rPr>
          <w:rFonts w:ascii="Aptos Narrow" w:hAnsi="Aptos Narrow"/>
          <w:color w:val="FF40FF"/>
          <w:sz w:val="21"/>
          <w:szCs w:val="21"/>
        </w:rPr>
        <w:t xml:space="preserve">&lt;For appeals related to denials due to GI side effects:&gt; </w:t>
      </w:r>
      <w:r w:rsidR="00373842" w:rsidRPr="004801B9">
        <w:rPr>
          <w:rFonts w:ascii="Aptos Narrow" w:hAnsi="Aptos Narrow"/>
          <w:color w:val="FF40FF"/>
          <w:sz w:val="21"/>
          <w:szCs w:val="21"/>
        </w:rPr>
        <w:t>The incidence of GI events with IBTROZI in TRUST-I and TRUST-II trials was 88</w:t>
      </w:r>
      <w:r w:rsidR="00373842">
        <w:rPr>
          <w:rFonts w:ascii="Aptos Narrow" w:hAnsi="Aptos Narrow"/>
          <w:color w:val="FF40FF"/>
          <w:sz w:val="21"/>
          <w:szCs w:val="21"/>
        </w:rPr>
        <w:t>.1</w:t>
      </w:r>
      <w:r w:rsidR="00373842" w:rsidRPr="004801B9">
        <w:rPr>
          <w:rFonts w:ascii="Aptos Narrow" w:hAnsi="Aptos Narrow"/>
          <w:color w:val="FF40FF"/>
          <w:sz w:val="21"/>
          <w:szCs w:val="21"/>
        </w:rPr>
        <w:t xml:space="preserve">% (310/352), and the overall incidence of Grade </w:t>
      </w:r>
      <w:r w:rsidR="00373842">
        <w:rPr>
          <w:rFonts w:ascii="Aptos Narrow" w:hAnsi="Aptos Narrow"/>
          <w:color w:val="FF40FF"/>
          <w:sz w:val="21"/>
          <w:szCs w:val="21"/>
        </w:rPr>
        <w:t>≥</w:t>
      </w:r>
      <w:r w:rsidR="00373842" w:rsidRPr="004801B9">
        <w:rPr>
          <w:rFonts w:ascii="Aptos Narrow" w:hAnsi="Aptos Narrow"/>
          <w:color w:val="FF40FF"/>
          <w:sz w:val="21"/>
          <w:szCs w:val="21"/>
        </w:rPr>
        <w:t xml:space="preserve">3 GI events </w:t>
      </w:r>
      <w:proofErr w:type="gramStart"/>
      <w:r w:rsidR="00373842" w:rsidRPr="004801B9">
        <w:rPr>
          <w:rFonts w:ascii="Aptos Narrow" w:hAnsi="Aptos Narrow"/>
          <w:color w:val="FF40FF"/>
          <w:sz w:val="21"/>
          <w:szCs w:val="21"/>
        </w:rPr>
        <w:t>was</w:t>
      </w:r>
      <w:proofErr w:type="gramEnd"/>
      <w:r w:rsidR="00373842" w:rsidRPr="004801B9">
        <w:rPr>
          <w:rFonts w:ascii="Aptos Narrow" w:hAnsi="Aptos Narrow"/>
          <w:color w:val="FF40FF"/>
          <w:sz w:val="21"/>
          <w:szCs w:val="21"/>
        </w:rPr>
        <w:t xml:space="preserve"> 6%.</w:t>
      </w:r>
      <w:r w:rsidR="00373842">
        <w:rPr>
          <w:rFonts w:ascii="Aptos Narrow" w:hAnsi="Aptos Narrow"/>
          <w:color w:val="FF40FF"/>
          <w:sz w:val="21"/>
          <w:szCs w:val="21"/>
          <w:vertAlign w:val="superscript"/>
        </w:rPr>
        <w:t>3</w:t>
      </w:r>
    </w:p>
    <w:p w14:paraId="3CE7210D" w14:textId="2CE0138B" w:rsidR="00373842" w:rsidRPr="0097050D" w:rsidRDefault="00220270" w:rsidP="00373842">
      <w:pPr>
        <w:spacing w:after="200" w:line="280" w:lineRule="exact"/>
        <w:ind w:left="135"/>
        <w:rPr>
          <w:rFonts w:ascii="Aptos Narrow" w:hAnsi="Aptos Narrow"/>
          <w:color w:val="FF40FF"/>
          <w:sz w:val="21"/>
          <w:szCs w:val="21"/>
        </w:rPr>
      </w:pPr>
      <w:r>
        <w:rPr>
          <w:rFonts w:ascii="Aptos Narrow" w:hAnsi="Aptos Narrow"/>
          <w:color w:val="FF40FF"/>
          <w:sz w:val="21"/>
          <w:szCs w:val="21"/>
        </w:rPr>
        <w:t xml:space="preserve">&lt;For appeals related to denials due to CNS side effects:&gt; </w:t>
      </w:r>
      <w:r w:rsidR="00373842" w:rsidRPr="004801B9">
        <w:rPr>
          <w:rFonts w:ascii="Aptos Narrow" w:hAnsi="Aptos Narrow"/>
          <w:color w:val="FF40FF"/>
          <w:sz w:val="21"/>
          <w:szCs w:val="21"/>
        </w:rPr>
        <w:t xml:space="preserve">The incidence of CNS events with IBTROZI in TRUST-I and TRUST-II trials was 48.9% (172/352), and the overall incidence of Grade ≥3 CNS events </w:t>
      </w:r>
      <w:proofErr w:type="gramStart"/>
      <w:r w:rsidR="00373842" w:rsidRPr="004801B9">
        <w:rPr>
          <w:rFonts w:ascii="Aptos Narrow" w:hAnsi="Aptos Narrow"/>
          <w:color w:val="FF40FF"/>
          <w:sz w:val="21"/>
          <w:szCs w:val="21"/>
        </w:rPr>
        <w:t>was</w:t>
      </w:r>
      <w:proofErr w:type="gramEnd"/>
      <w:r w:rsidR="00373842" w:rsidRPr="004801B9">
        <w:rPr>
          <w:rFonts w:ascii="Aptos Narrow" w:hAnsi="Aptos Narrow"/>
          <w:color w:val="FF40FF"/>
          <w:sz w:val="21"/>
          <w:szCs w:val="21"/>
        </w:rPr>
        <w:t xml:space="preserve"> 5.4%.</w:t>
      </w:r>
      <w:r w:rsidR="00373842">
        <w:rPr>
          <w:rFonts w:ascii="Aptos Narrow" w:hAnsi="Aptos Narrow"/>
          <w:color w:val="FF40FF"/>
          <w:sz w:val="21"/>
          <w:szCs w:val="21"/>
          <w:vertAlign w:val="superscript"/>
        </w:rPr>
        <w:t>3</w:t>
      </w:r>
      <w:r w:rsidR="00373842">
        <w:rPr>
          <w:rFonts w:ascii="Aptos Narrow" w:hAnsi="Aptos Narrow"/>
          <w:color w:val="FF40FF"/>
          <w:sz w:val="21"/>
          <w:szCs w:val="21"/>
        </w:rPr>
        <w:t xml:space="preserve">  </w:t>
      </w:r>
    </w:p>
    <w:p w14:paraId="09EBC7C4" w14:textId="131EEF88" w:rsidR="00373842" w:rsidRPr="0019128F" w:rsidRDefault="00220270" w:rsidP="00373842">
      <w:pPr>
        <w:spacing w:after="200" w:line="280" w:lineRule="exact"/>
        <w:ind w:left="135"/>
        <w:rPr>
          <w:rFonts w:ascii="Aptos Narrow" w:hAnsi="Aptos Narrow"/>
          <w:color w:val="FF40FF"/>
          <w:sz w:val="21"/>
          <w:szCs w:val="21"/>
          <w:vertAlign w:val="superscript"/>
        </w:rPr>
      </w:pPr>
      <w:r>
        <w:rPr>
          <w:rFonts w:ascii="Aptos Narrow" w:hAnsi="Aptos Narrow"/>
          <w:color w:val="FF40FF"/>
          <w:sz w:val="21"/>
          <w:szCs w:val="21"/>
        </w:rPr>
        <w:t xml:space="preserve">&lt;For appeals related to denials due to serious adverse reactions:&gt; </w:t>
      </w:r>
      <w:r w:rsidR="00373842" w:rsidRPr="00671A82">
        <w:rPr>
          <w:rFonts w:ascii="Aptos Narrow" w:hAnsi="Aptos Narrow"/>
          <w:color w:val="FF40FF"/>
          <w:sz w:val="21"/>
          <w:szCs w:val="21"/>
        </w:rPr>
        <w:t>Serious adverse reactions occurred in 31% of patients who received IBTROZI. Serious adverse reactions in ≥2% of patients included pneumonia (7%), pleural effusion (4.7%), and hepatotoxicity (2.4%). Fatal adverse reactions occurred in 18 (5%) patients who received IBTROZI, including pneumonia (2.4%), multiple organ dysfunction syndrome (0.6%), hepatotoxicity (0.6%), cardiac arrest (0.6%), cardiac failure (0.3%), cardiopulmonary failure (0.3%), respiratory failure (0.3%), and death not otherwise specified (0.3%).</w:t>
      </w:r>
      <w:r w:rsidR="00373842">
        <w:rPr>
          <w:rFonts w:ascii="Aptos Narrow" w:hAnsi="Aptos Narrow"/>
          <w:color w:val="FF40FF"/>
          <w:sz w:val="21"/>
          <w:szCs w:val="21"/>
          <w:vertAlign w:val="superscript"/>
        </w:rPr>
        <w:t>1</w:t>
      </w:r>
    </w:p>
    <w:p w14:paraId="355B6E17" w14:textId="77777777" w:rsidR="00373842" w:rsidRPr="00414A6D" w:rsidRDefault="00373842" w:rsidP="00373842">
      <w:pPr>
        <w:spacing w:after="200" w:line="280" w:lineRule="exact"/>
        <w:ind w:firstLine="135"/>
        <w:rPr>
          <w:rFonts w:ascii="Aptos" w:hAnsi="Aptos"/>
          <w:b/>
          <w:bCs/>
          <w:color w:val="FF40FF"/>
          <w:sz w:val="21"/>
          <w:szCs w:val="21"/>
        </w:rPr>
      </w:pPr>
      <w:r w:rsidRPr="00414A6D">
        <w:rPr>
          <w:rFonts w:ascii="Aptos" w:hAnsi="Aptos"/>
          <w:b/>
          <w:bCs/>
          <w:color w:val="FF40FF"/>
          <w:sz w:val="21"/>
          <w:szCs w:val="21"/>
        </w:rPr>
        <w:t>Guideline Recommendations</w:t>
      </w:r>
    </w:p>
    <w:p w14:paraId="4FC9268C" w14:textId="51B38736" w:rsidR="00373842" w:rsidRPr="0097050D" w:rsidRDefault="00373842" w:rsidP="00F7593C">
      <w:pPr>
        <w:spacing w:after="200" w:line="280" w:lineRule="exact"/>
        <w:ind w:left="135"/>
        <w:rPr>
          <w:rFonts w:ascii="Aptos Narrow" w:hAnsi="Aptos Narrow"/>
          <w:color w:val="FF40FF"/>
          <w:sz w:val="21"/>
          <w:szCs w:val="21"/>
          <w:vertAlign w:val="superscript"/>
        </w:rPr>
      </w:pPr>
      <w:proofErr w:type="spellStart"/>
      <w:r w:rsidRPr="0097050D">
        <w:rPr>
          <w:rFonts w:ascii="Aptos Narrow" w:hAnsi="Aptos Narrow"/>
          <w:color w:val="FF40FF"/>
          <w:sz w:val="21"/>
          <w:szCs w:val="21"/>
        </w:rPr>
        <w:t>Taletrectinib</w:t>
      </w:r>
      <w:proofErr w:type="spellEnd"/>
      <w:r w:rsidRPr="0097050D">
        <w:rPr>
          <w:rFonts w:ascii="Aptos Narrow" w:hAnsi="Aptos Narrow"/>
          <w:color w:val="FF40FF"/>
          <w:sz w:val="21"/>
          <w:szCs w:val="21"/>
        </w:rPr>
        <w:t xml:space="preserve"> (IBTROZI</w:t>
      </w:r>
      <w:r>
        <w:rPr>
          <w:rFonts w:ascii="Aptos Narrow" w:hAnsi="Aptos Narrow"/>
          <w:color w:val="FF40FF"/>
          <w:sz w:val="21"/>
          <w:szCs w:val="21"/>
        </w:rPr>
        <w:t>®</w:t>
      </w:r>
      <w:r w:rsidRPr="0097050D">
        <w:rPr>
          <w:rFonts w:ascii="Aptos Narrow" w:hAnsi="Aptos Narrow"/>
          <w:color w:val="FF40FF"/>
          <w:sz w:val="21"/>
          <w:szCs w:val="21"/>
        </w:rPr>
        <w:t xml:space="preserve">) is included in the NCCN Clinical Practice Guidelines </w:t>
      </w:r>
      <w:r>
        <w:rPr>
          <w:rFonts w:ascii="Aptos Narrow" w:hAnsi="Aptos Narrow"/>
          <w:color w:val="FF40FF"/>
          <w:sz w:val="21"/>
          <w:szCs w:val="21"/>
        </w:rPr>
        <w:t>i</w:t>
      </w:r>
      <w:r w:rsidRPr="0097050D">
        <w:rPr>
          <w:rFonts w:ascii="Aptos Narrow" w:hAnsi="Aptos Narrow"/>
          <w:color w:val="FF40FF"/>
          <w:sz w:val="21"/>
          <w:szCs w:val="21"/>
        </w:rPr>
        <w:t xml:space="preserve">n Oncology (NCCN Guidelines®) </w:t>
      </w:r>
      <w:r>
        <w:rPr>
          <w:rFonts w:ascii="Aptos Narrow" w:hAnsi="Aptos Narrow"/>
          <w:color w:val="FF40FF"/>
          <w:sz w:val="21"/>
          <w:szCs w:val="21"/>
        </w:rPr>
        <w:t xml:space="preserve">for Non-Small Cell Lung Cancer Version </w:t>
      </w:r>
      <w:r w:rsidR="00FC5C58">
        <w:rPr>
          <w:rFonts w:ascii="Aptos Narrow" w:hAnsi="Aptos Narrow"/>
          <w:color w:val="FF40FF"/>
          <w:sz w:val="21"/>
          <w:szCs w:val="21"/>
        </w:rPr>
        <w:t>7</w:t>
      </w:r>
      <w:r>
        <w:rPr>
          <w:rFonts w:ascii="Aptos Narrow" w:hAnsi="Aptos Narrow"/>
          <w:color w:val="FF40FF"/>
          <w:sz w:val="21"/>
          <w:szCs w:val="21"/>
        </w:rPr>
        <w:t xml:space="preserve">.2026 </w:t>
      </w:r>
      <w:r w:rsidRPr="0097050D">
        <w:rPr>
          <w:rFonts w:ascii="Aptos Narrow" w:hAnsi="Aptos Narrow"/>
          <w:color w:val="FF40FF"/>
          <w:sz w:val="21"/>
          <w:szCs w:val="21"/>
        </w:rPr>
        <w:t>as a</w:t>
      </w:r>
      <w:r>
        <w:rPr>
          <w:rFonts w:ascii="Aptos Narrow" w:hAnsi="Aptos Narrow"/>
          <w:color w:val="FF40FF"/>
          <w:sz w:val="21"/>
          <w:szCs w:val="21"/>
        </w:rPr>
        <w:t>n NCCN C</w:t>
      </w:r>
      <w:r w:rsidRPr="0097050D">
        <w:rPr>
          <w:rFonts w:ascii="Aptos Narrow" w:hAnsi="Aptos Narrow"/>
          <w:color w:val="FF40FF"/>
          <w:sz w:val="21"/>
          <w:szCs w:val="21"/>
        </w:rPr>
        <w:t xml:space="preserve">ategory 2A, preferred first-line treatment option for patients with advanced or metastatic </w:t>
      </w:r>
      <w:r w:rsidRPr="00FC5C58">
        <w:rPr>
          <w:rFonts w:ascii="Aptos Narrow" w:hAnsi="Aptos Narrow"/>
          <w:i/>
          <w:iCs/>
          <w:color w:val="FF40FF"/>
          <w:sz w:val="21"/>
          <w:szCs w:val="21"/>
        </w:rPr>
        <w:t>ROS1</w:t>
      </w:r>
      <w:r w:rsidRPr="0097050D">
        <w:rPr>
          <w:rFonts w:ascii="Aptos Narrow" w:hAnsi="Aptos Narrow"/>
          <w:color w:val="FF40FF"/>
          <w:sz w:val="21"/>
          <w:szCs w:val="21"/>
        </w:rPr>
        <w:t>+ NSCLC.</w:t>
      </w:r>
      <w:r>
        <w:rPr>
          <w:rFonts w:ascii="Aptos Narrow" w:hAnsi="Aptos Narrow"/>
          <w:color w:val="FF40FF"/>
          <w:sz w:val="21"/>
          <w:szCs w:val="21"/>
        </w:rPr>
        <w:t>*</w:t>
      </w:r>
      <w:r w:rsidRPr="0097050D">
        <w:rPr>
          <w:rFonts w:ascii="Aptos Narrow" w:hAnsi="Aptos Narrow"/>
          <w:color w:val="FF40FF"/>
          <w:sz w:val="21"/>
          <w:szCs w:val="21"/>
          <w:vertAlign w:val="superscript"/>
        </w:rPr>
        <w:t>†</w:t>
      </w:r>
      <w:r>
        <w:rPr>
          <w:rFonts w:ascii="Aptos Narrow" w:hAnsi="Aptos Narrow"/>
          <w:color w:val="FF40FF"/>
          <w:sz w:val="21"/>
          <w:szCs w:val="21"/>
          <w:vertAlign w:val="superscript"/>
        </w:rPr>
        <w:t>‡</w:t>
      </w:r>
      <w:r w:rsidRPr="0097050D">
        <w:rPr>
          <w:rFonts w:ascii="Aptos Narrow" w:hAnsi="Aptos Narrow"/>
          <w:color w:val="FF40FF"/>
          <w:sz w:val="21"/>
          <w:szCs w:val="21"/>
        </w:rPr>
        <w:t xml:space="preserve"> </w:t>
      </w:r>
      <w:proofErr w:type="spellStart"/>
      <w:r w:rsidRPr="0097050D">
        <w:rPr>
          <w:rFonts w:ascii="Aptos Narrow" w:hAnsi="Aptos Narrow"/>
          <w:color w:val="FF40FF"/>
          <w:sz w:val="21"/>
          <w:szCs w:val="21"/>
        </w:rPr>
        <w:t>Taletrectinib</w:t>
      </w:r>
      <w:proofErr w:type="spellEnd"/>
      <w:r w:rsidRPr="0097050D">
        <w:rPr>
          <w:rFonts w:ascii="Aptos Narrow" w:hAnsi="Aptos Narrow"/>
          <w:color w:val="FF40FF"/>
          <w:sz w:val="21"/>
          <w:szCs w:val="21"/>
        </w:rPr>
        <w:t xml:space="preserve"> is also recommended for subsequent therapy, including as </w:t>
      </w:r>
      <w:r>
        <w:rPr>
          <w:rFonts w:ascii="Aptos Narrow" w:hAnsi="Aptos Narrow"/>
          <w:color w:val="FF40FF"/>
          <w:sz w:val="21"/>
          <w:szCs w:val="21"/>
        </w:rPr>
        <w:t xml:space="preserve">a </w:t>
      </w:r>
      <w:r w:rsidRPr="0097050D">
        <w:rPr>
          <w:rFonts w:ascii="Aptos Narrow" w:hAnsi="Aptos Narrow"/>
          <w:color w:val="FF40FF"/>
          <w:sz w:val="21"/>
          <w:szCs w:val="21"/>
        </w:rPr>
        <w:t xml:space="preserve">preferred option for patients with symptomatic brain metastases and as an option for </w:t>
      </w:r>
      <w:r>
        <w:rPr>
          <w:rFonts w:ascii="Aptos Narrow" w:hAnsi="Aptos Narrow"/>
          <w:color w:val="FF40FF"/>
          <w:sz w:val="21"/>
          <w:szCs w:val="21"/>
        </w:rPr>
        <w:t xml:space="preserve">asymptomatic disease, systemic disease with limited progression or multiple lesions, and </w:t>
      </w:r>
      <w:r w:rsidRPr="0097050D">
        <w:rPr>
          <w:rFonts w:ascii="Aptos Narrow" w:hAnsi="Aptos Narrow"/>
          <w:color w:val="FF40FF"/>
          <w:sz w:val="21"/>
          <w:szCs w:val="21"/>
        </w:rPr>
        <w:t xml:space="preserve">resistant mutations, such as </w:t>
      </w:r>
      <w:r w:rsidRPr="00DA75E9">
        <w:rPr>
          <w:rFonts w:ascii="Aptos Narrow" w:hAnsi="Aptos Narrow"/>
          <w:i/>
          <w:iCs/>
          <w:color w:val="FF40FF"/>
          <w:sz w:val="21"/>
          <w:szCs w:val="21"/>
        </w:rPr>
        <w:t>ROS1</w:t>
      </w:r>
      <w:r w:rsidRPr="0097050D">
        <w:rPr>
          <w:rFonts w:ascii="Aptos Narrow" w:hAnsi="Aptos Narrow"/>
          <w:color w:val="FF40FF"/>
          <w:sz w:val="21"/>
          <w:szCs w:val="21"/>
        </w:rPr>
        <w:t>-G2032R.</w:t>
      </w:r>
      <w:r>
        <w:rPr>
          <w:rFonts w:ascii="Aptos Narrow" w:hAnsi="Aptos Narrow"/>
          <w:color w:val="FF40FF"/>
          <w:sz w:val="21"/>
          <w:szCs w:val="21"/>
          <w:vertAlign w:val="superscript"/>
        </w:rPr>
        <w:t>4</w:t>
      </w:r>
      <w:r w:rsidRPr="0097050D">
        <w:rPr>
          <w:rFonts w:ascii="Aptos Narrow" w:hAnsi="Aptos Narrow"/>
          <w:color w:val="FF40FF"/>
          <w:sz w:val="21"/>
          <w:szCs w:val="21"/>
        </w:rPr>
        <w:t>]</w:t>
      </w:r>
    </w:p>
    <w:p w14:paraId="72D89C67" w14:textId="77777777" w:rsidR="00373842" w:rsidRDefault="00373842" w:rsidP="00373842">
      <w:pPr>
        <w:spacing w:after="200" w:line="280" w:lineRule="exact"/>
        <w:ind w:left="135"/>
        <w:rPr>
          <w:rFonts w:ascii="Aptos Narrow" w:hAnsi="Aptos Narrow"/>
          <w:sz w:val="21"/>
          <w:szCs w:val="21"/>
        </w:rPr>
      </w:pPr>
      <w:r w:rsidRPr="00147468">
        <w:rPr>
          <w:rFonts w:ascii="Aptos Narrow" w:hAnsi="Aptos Narrow"/>
          <w:sz w:val="21"/>
          <w:szCs w:val="21"/>
        </w:rPr>
        <w:t xml:space="preserve">The denial was based on </w:t>
      </w:r>
      <w:r w:rsidRPr="00147468">
        <w:rPr>
          <w:rFonts w:ascii="Aptos Narrow" w:hAnsi="Aptos Narrow"/>
          <w:color w:val="FF40FF"/>
          <w:sz w:val="21"/>
          <w:szCs w:val="21"/>
        </w:rPr>
        <w:t xml:space="preserve">[incorrect criteria, outdated guidelines, failure to consider mutation status, requirement for step therapy, </w:t>
      </w:r>
      <w:proofErr w:type="spellStart"/>
      <w:r w:rsidRPr="00147468">
        <w:rPr>
          <w:rFonts w:ascii="Aptos Narrow" w:hAnsi="Aptos Narrow"/>
          <w:color w:val="FF40FF"/>
          <w:sz w:val="21"/>
          <w:szCs w:val="21"/>
        </w:rPr>
        <w:t>etc</w:t>
      </w:r>
      <w:proofErr w:type="spellEnd"/>
      <w:r w:rsidRPr="00147468">
        <w:rPr>
          <w:rFonts w:ascii="Aptos Narrow" w:hAnsi="Aptos Narrow"/>
          <w:color w:val="FF40FF"/>
          <w:sz w:val="21"/>
          <w:szCs w:val="21"/>
        </w:rPr>
        <w:t>]</w:t>
      </w:r>
      <w:r w:rsidRPr="00147468">
        <w:rPr>
          <w:rFonts w:ascii="Aptos Narrow" w:hAnsi="Aptos Narrow"/>
          <w:sz w:val="21"/>
          <w:szCs w:val="21"/>
        </w:rPr>
        <w:t xml:space="preserve">. </w:t>
      </w:r>
      <w:r w:rsidRPr="00147468">
        <w:rPr>
          <w:rFonts w:ascii="Aptos Narrow" w:hAnsi="Aptos Narrow"/>
          <w:color w:val="FF40FF"/>
          <w:sz w:val="21"/>
          <w:szCs w:val="21"/>
        </w:rPr>
        <w:t xml:space="preserve">[If denial is based on a requirement for step therapy, </w:t>
      </w:r>
      <w:r w:rsidRPr="004C0FE2">
        <w:rPr>
          <w:rFonts w:ascii="Aptos Narrow" w:hAnsi="Aptos Narrow"/>
          <w:color w:val="FF40FF"/>
          <w:sz w:val="21"/>
          <w:szCs w:val="21"/>
        </w:rPr>
        <w:t>consider including rationale for why the alternative treatment(s) suggested in the denial are not appropriate (</w:t>
      </w:r>
      <w:proofErr w:type="spellStart"/>
      <w:r w:rsidRPr="004C0FE2">
        <w:rPr>
          <w:rFonts w:ascii="Aptos Narrow" w:hAnsi="Aptos Narrow"/>
          <w:color w:val="FF40FF"/>
          <w:sz w:val="21"/>
          <w:szCs w:val="21"/>
        </w:rPr>
        <w:t>eg</w:t>
      </w:r>
      <w:proofErr w:type="spellEnd"/>
      <w:r w:rsidRPr="004C0FE2">
        <w:rPr>
          <w:rFonts w:ascii="Aptos Narrow" w:hAnsi="Aptos Narrow"/>
          <w:color w:val="FF40FF"/>
          <w:sz w:val="21"/>
          <w:szCs w:val="21"/>
        </w:rPr>
        <w:t>, toxicity, contraindications, or previous failure)</w:t>
      </w:r>
      <w:r w:rsidRPr="00147468">
        <w:rPr>
          <w:rFonts w:ascii="Aptos Narrow" w:hAnsi="Aptos Narrow"/>
          <w:color w:val="FF40FF"/>
          <w:sz w:val="21"/>
          <w:szCs w:val="21"/>
        </w:rPr>
        <w:t>]</w:t>
      </w:r>
      <w:r w:rsidRPr="00147468">
        <w:rPr>
          <w:rFonts w:ascii="Aptos Narrow" w:hAnsi="Aptos Narrow"/>
          <w:sz w:val="21"/>
          <w:szCs w:val="21"/>
        </w:rPr>
        <w:t xml:space="preserve">. </w:t>
      </w:r>
    </w:p>
    <w:p w14:paraId="7AF5098F" w14:textId="77777777" w:rsidR="00373842" w:rsidRPr="00147468" w:rsidRDefault="00373842" w:rsidP="00373842">
      <w:pPr>
        <w:spacing w:after="200" w:line="280" w:lineRule="exact"/>
        <w:ind w:left="135"/>
        <w:rPr>
          <w:rFonts w:ascii="Aptos Narrow" w:hAnsi="Aptos Narrow"/>
          <w:sz w:val="21"/>
          <w:szCs w:val="21"/>
        </w:rPr>
      </w:pPr>
      <w:r w:rsidRPr="00147468">
        <w:rPr>
          <w:rFonts w:ascii="Aptos Narrow" w:hAnsi="Aptos Narrow"/>
          <w:sz w:val="21"/>
          <w:szCs w:val="21"/>
        </w:rPr>
        <w:t xml:space="preserve">In summary, based on my clinical opinion, IBTROZI is medically necessary for </w:t>
      </w:r>
      <w:r w:rsidRPr="00147468">
        <w:rPr>
          <w:rFonts w:ascii="Aptos Narrow" w:hAnsi="Aptos Narrow"/>
          <w:color w:val="FF40FF"/>
          <w:sz w:val="21"/>
          <w:szCs w:val="21"/>
        </w:rPr>
        <w:t>[</w:t>
      </w:r>
      <w:r>
        <w:rPr>
          <w:rFonts w:ascii="Aptos Narrow" w:hAnsi="Aptos Narrow"/>
          <w:color w:val="FF40FF"/>
          <w:sz w:val="21"/>
          <w:szCs w:val="21"/>
        </w:rPr>
        <w:t>p</w:t>
      </w:r>
      <w:r w:rsidRPr="00147468">
        <w:rPr>
          <w:rFonts w:ascii="Aptos Narrow" w:hAnsi="Aptos Narrow"/>
          <w:color w:val="FF40FF"/>
          <w:sz w:val="21"/>
          <w:szCs w:val="21"/>
        </w:rPr>
        <w:t xml:space="preserve">atient’s </w:t>
      </w:r>
      <w:r>
        <w:rPr>
          <w:rFonts w:ascii="Aptos Narrow" w:hAnsi="Aptos Narrow"/>
          <w:color w:val="FF40FF"/>
          <w:sz w:val="21"/>
          <w:szCs w:val="21"/>
        </w:rPr>
        <w:t>n</w:t>
      </w:r>
      <w:r w:rsidRPr="00147468">
        <w:rPr>
          <w:rFonts w:ascii="Aptos Narrow" w:hAnsi="Aptos Narrow"/>
          <w:color w:val="FF40FF"/>
          <w:sz w:val="21"/>
          <w:szCs w:val="21"/>
        </w:rPr>
        <w:t>ame]</w:t>
      </w:r>
      <w:r w:rsidRPr="00147468">
        <w:rPr>
          <w:rFonts w:ascii="Aptos Narrow" w:hAnsi="Aptos Narrow"/>
          <w:sz w:val="21"/>
          <w:szCs w:val="21"/>
        </w:rPr>
        <w:t xml:space="preserve">. This is consistent with both the FDA-approved indication and the current standards of care. </w:t>
      </w:r>
    </w:p>
    <w:p w14:paraId="257CB39A" w14:textId="77777777" w:rsidR="00373842" w:rsidRDefault="00373842" w:rsidP="00373842">
      <w:pPr>
        <w:spacing w:after="200" w:line="280" w:lineRule="exact"/>
        <w:ind w:left="135"/>
        <w:rPr>
          <w:rFonts w:ascii="Aptos Narrow" w:hAnsi="Aptos Narrow"/>
          <w:sz w:val="21"/>
          <w:szCs w:val="21"/>
        </w:rPr>
      </w:pPr>
      <w:r w:rsidRPr="00147468">
        <w:rPr>
          <w:rFonts w:ascii="Aptos Narrow" w:hAnsi="Aptos Narrow"/>
          <w:sz w:val="21"/>
          <w:szCs w:val="21"/>
        </w:rPr>
        <w:t xml:space="preserve">Please review this appeal as soon as possible. If additional information is needed, I can be reached at </w:t>
      </w:r>
      <w:r w:rsidRPr="00147468">
        <w:rPr>
          <w:rFonts w:ascii="Aptos Narrow" w:hAnsi="Aptos Narrow"/>
          <w:color w:val="FF40FF"/>
          <w:sz w:val="21"/>
          <w:szCs w:val="21"/>
        </w:rPr>
        <w:t>[</w:t>
      </w:r>
      <w:r>
        <w:rPr>
          <w:rFonts w:ascii="Aptos Narrow" w:hAnsi="Aptos Narrow"/>
          <w:color w:val="FF40FF"/>
          <w:sz w:val="21"/>
          <w:szCs w:val="21"/>
        </w:rPr>
        <w:t>p</w:t>
      </w:r>
      <w:r w:rsidRPr="00147468">
        <w:rPr>
          <w:rFonts w:ascii="Aptos Narrow" w:hAnsi="Aptos Narrow"/>
          <w:color w:val="FF40FF"/>
          <w:sz w:val="21"/>
          <w:szCs w:val="21"/>
        </w:rPr>
        <w:t xml:space="preserve">hysician’s </w:t>
      </w:r>
      <w:r>
        <w:rPr>
          <w:rFonts w:ascii="Aptos Narrow" w:hAnsi="Aptos Narrow"/>
          <w:color w:val="FF40FF"/>
          <w:sz w:val="21"/>
          <w:szCs w:val="21"/>
        </w:rPr>
        <w:t>c</w:t>
      </w:r>
      <w:r w:rsidRPr="00147468">
        <w:rPr>
          <w:rFonts w:ascii="Aptos Narrow" w:hAnsi="Aptos Narrow"/>
          <w:color w:val="FF40FF"/>
          <w:sz w:val="21"/>
          <w:szCs w:val="21"/>
        </w:rPr>
        <w:t xml:space="preserve">ontact </w:t>
      </w:r>
      <w:r>
        <w:rPr>
          <w:rFonts w:ascii="Aptos Narrow" w:hAnsi="Aptos Narrow"/>
          <w:color w:val="FF40FF"/>
          <w:sz w:val="21"/>
          <w:szCs w:val="21"/>
        </w:rPr>
        <w:t>i</w:t>
      </w:r>
      <w:r w:rsidRPr="00147468">
        <w:rPr>
          <w:rFonts w:ascii="Aptos Narrow" w:hAnsi="Aptos Narrow"/>
          <w:color w:val="FF40FF"/>
          <w:sz w:val="21"/>
          <w:szCs w:val="21"/>
        </w:rPr>
        <w:t>nformation]</w:t>
      </w:r>
      <w:r w:rsidRPr="00147468">
        <w:rPr>
          <w:rFonts w:ascii="Aptos Narrow" w:hAnsi="Aptos Narrow"/>
          <w:sz w:val="21"/>
          <w:szCs w:val="21"/>
        </w:rPr>
        <w:t xml:space="preserve">. </w:t>
      </w:r>
    </w:p>
    <w:p w14:paraId="3C02F024" w14:textId="77777777" w:rsidR="00373842" w:rsidRDefault="00373842" w:rsidP="00373842">
      <w:pPr>
        <w:spacing w:after="200" w:line="280" w:lineRule="exact"/>
        <w:ind w:left="135"/>
        <w:rPr>
          <w:rFonts w:ascii="Aptos Narrow" w:hAnsi="Aptos Narrow"/>
          <w:sz w:val="21"/>
          <w:szCs w:val="21"/>
        </w:rPr>
      </w:pPr>
      <w:r>
        <w:rPr>
          <w:rFonts w:ascii="Aptos Narrow" w:hAnsi="Aptos Narrow"/>
          <w:sz w:val="21"/>
          <w:szCs w:val="21"/>
        </w:rPr>
        <w:t>If this appeal is denied, I am also requesting a review of the denial by a board-certified oncologist of the same or similar specialty as myself who typically manages the same or similar conditions and/or treatments. Please contact me if you require further information regarding this request.</w:t>
      </w:r>
    </w:p>
    <w:p w14:paraId="57C35CB5" w14:textId="77777777" w:rsidR="00373842" w:rsidRPr="00147468" w:rsidRDefault="00373842" w:rsidP="00373842">
      <w:pPr>
        <w:spacing w:after="200" w:line="280" w:lineRule="exact"/>
        <w:ind w:left="135"/>
        <w:rPr>
          <w:rFonts w:ascii="Aptos Narrow" w:hAnsi="Aptos Narrow"/>
          <w:sz w:val="21"/>
          <w:szCs w:val="21"/>
        </w:rPr>
      </w:pPr>
      <w:r w:rsidRPr="00147468">
        <w:rPr>
          <w:rFonts w:ascii="Aptos Narrow" w:hAnsi="Aptos Narrow"/>
          <w:sz w:val="21"/>
          <w:szCs w:val="21"/>
        </w:rPr>
        <w:t>Thank you for your prompt reconsideration.</w:t>
      </w:r>
    </w:p>
    <w:p w14:paraId="7CC87E77" w14:textId="77777777" w:rsidR="00373842" w:rsidRPr="00147468" w:rsidRDefault="00373842" w:rsidP="00373842">
      <w:pPr>
        <w:spacing w:line="280" w:lineRule="exact"/>
        <w:ind w:left="101"/>
        <w:rPr>
          <w:rFonts w:ascii="Aptos Narrow" w:hAnsi="Aptos Narrow"/>
          <w:sz w:val="21"/>
          <w:szCs w:val="21"/>
        </w:rPr>
      </w:pPr>
      <w:r w:rsidRPr="00147468">
        <w:rPr>
          <w:rFonts w:ascii="Aptos Narrow" w:hAnsi="Aptos Narrow"/>
          <w:sz w:val="21"/>
          <w:szCs w:val="21"/>
        </w:rPr>
        <w:t>Sincerely,</w:t>
      </w:r>
    </w:p>
    <w:p w14:paraId="32A89EF5" w14:textId="77777777" w:rsidR="00373842" w:rsidRPr="00147468" w:rsidRDefault="00373842" w:rsidP="00373842">
      <w:pPr>
        <w:spacing w:after="80" w:line="280" w:lineRule="exact"/>
        <w:ind w:left="101"/>
        <w:rPr>
          <w:rFonts w:ascii="Aptos Narrow" w:hAnsi="Aptos Narrow"/>
          <w:color w:val="FF40FF"/>
          <w:sz w:val="21"/>
          <w:szCs w:val="21"/>
        </w:rPr>
      </w:pPr>
      <w:r w:rsidRPr="00147468">
        <w:rPr>
          <w:rFonts w:ascii="Aptos Narrow" w:hAnsi="Aptos Narrow"/>
          <w:color w:val="FF40FF"/>
          <w:sz w:val="21"/>
          <w:szCs w:val="21"/>
        </w:rPr>
        <w:t>[Physician’s signature]</w:t>
      </w:r>
    </w:p>
    <w:p w14:paraId="09E6DCEC" w14:textId="77777777" w:rsidR="00373842" w:rsidRPr="00147468" w:rsidRDefault="00373842" w:rsidP="00373842">
      <w:pPr>
        <w:spacing w:after="240" w:line="280" w:lineRule="exact"/>
        <w:ind w:left="101"/>
        <w:rPr>
          <w:rFonts w:ascii="Aptos Narrow" w:hAnsi="Aptos Narrow"/>
          <w:color w:val="FF40FF"/>
          <w:sz w:val="21"/>
          <w:szCs w:val="21"/>
        </w:rPr>
      </w:pPr>
      <w:r w:rsidRPr="00147468">
        <w:rPr>
          <w:rFonts w:ascii="Aptos Narrow" w:hAnsi="Aptos Narrow"/>
          <w:color w:val="FF40FF"/>
          <w:sz w:val="21"/>
          <w:szCs w:val="21"/>
        </w:rPr>
        <w:t>[Physician name] [Name of practice]</w:t>
      </w:r>
    </w:p>
    <w:p w14:paraId="78B5FAE2" w14:textId="77777777" w:rsidR="00373842" w:rsidRPr="00CC1DE1" w:rsidRDefault="00373842" w:rsidP="00373842">
      <w:pPr>
        <w:spacing w:after="80" w:line="280" w:lineRule="exact"/>
        <w:ind w:left="101"/>
        <w:rPr>
          <w:rFonts w:ascii="Aptos Narrow" w:hAnsi="Aptos Narrow"/>
          <w:color w:val="FF40FF"/>
          <w:sz w:val="21"/>
          <w:szCs w:val="21"/>
          <w:vertAlign w:val="superscript"/>
        </w:rPr>
      </w:pPr>
      <w:r>
        <w:rPr>
          <w:rFonts w:ascii="Aptos Narrow" w:hAnsi="Aptos Narrow"/>
          <w:color w:val="FF40FF"/>
          <w:sz w:val="21"/>
          <w:szCs w:val="21"/>
        </w:rPr>
        <w:t>[</w:t>
      </w:r>
      <w:r w:rsidRPr="006E55A3">
        <w:rPr>
          <w:rFonts w:ascii="Aptos Narrow" w:hAnsi="Aptos Narrow"/>
          <w:color w:val="FF40FF"/>
          <w:sz w:val="21"/>
          <w:szCs w:val="21"/>
        </w:rPr>
        <w:t>*</w:t>
      </w:r>
      <w:r w:rsidRPr="00BA6E4E">
        <w:rPr>
          <w:rFonts w:ascii="Aptos Narrow" w:hAnsi="Aptos Narrow"/>
          <w:color w:val="FF40FF"/>
          <w:sz w:val="21"/>
          <w:szCs w:val="21"/>
        </w:rPr>
        <w:t xml:space="preserve">If </w:t>
      </w:r>
      <w:r w:rsidRPr="005255DA">
        <w:rPr>
          <w:rFonts w:ascii="Aptos Narrow" w:hAnsi="Aptos Narrow"/>
          <w:i/>
          <w:iCs/>
          <w:color w:val="FF40FF"/>
          <w:sz w:val="21"/>
          <w:szCs w:val="21"/>
        </w:rPr>
        <w:t>ROS1</w:t>
      </w:r>
      <w:r w:rsidRPr="00BA6E4E">
        <w:rPr>
          <w:rFonts w:ascii="Aptos Narrow" w:hAnsi="Aptos Narrow"/>
          <w:color w:val="FF40FF"/>
          <w:sz w:val="21"/>
          <w:szCs w:val="21"/>
        </w:rPr>
        <w:t xml:space="preserve"> gene fusions discovered prior to first-line systemic therapy</w:t>
      </w:r>
      <w:r>
        <w:rPr>
          <w:rFonts w:ascii="Aptos Narrow" w:hAnsi="Aptos Narrow"/>
          <w:color w:val="FF40FF"/>
          <w:sz w:val="21"/>
          <w:szCs w:val="21"/>
        </w:rPr>
        <w:t>.</w:t>
      </w:r>
      <w:r>
        <w:rPr>
          <w:rFonts w:ascii="Aptos Narrow" w:hAnsi="Aptos Narrow"/>
          <w:color w:val="FF40FF"/>
          <w:sz w:val="21"/>
          <w:szCs w:val="21"/>
          <w:vertAlign w:val="superscript"/>
        </w:rPr>
        <w:t>4</w:t>
      </w:r>
    </w:p>
    <w:p w14:paraId="7866B64C" w14:textId="77777777" w:rsidR="00373842" w:rsidRPr="0019128F" w:rsidRDefault="00373842" w:rsidP="00373842">
      <w:pPr>
        <w:spacing w:after="80" w:line="280" w:lineRule="exact"/>
        <w:ind w:left="101"/>
        <w:rPr>
          <w:rFonts w:ascii="Aptos Narrow" w:hAnsi="Aptos Narrow"/>
          <w:color w:val="FF40FF"/>
          <w:sz w:val="21"/>
          <w:szCs w:val="21"/>
          <w:vertAlign w:val="superscript"/>
        </w:rPr>
      </w:pPr>
      <w:r w:rsidRPr="00BA6E4E">
        <w:rPr>
          <w:rFonts w:ascii="Aptos Narrow" w:hAnsi="Aptos Narrow"/>
          <w:color w:val="FF40FF"/>
          <w:sz w:val="21"/>
          <w:szCs w:val="21"/>
          <w:vertAlign w:val="superscript"/>
        </w:rPr>
        <w:t>†</w:t>
      </w:r>
      <w:r w:rsidRPr="005521E0">
        <w:rPr>
          <w:rFonts w:ascii="Aptos Narrow" w:hAnsi="Aptos Narrow"/>
          <w:color w:val="FF40FF"/>
          <w:sz w:val="21"/>
          <w:szCs w:val="21"/>
        </w:rPr>
        <w:t>Category 2A: Based upon lower-level evidence, there is uniform NCCN consensus (≥85% support of the Panel) that the intervention is appropriate.</w:t>
      </w:r>
      <w:r>
        <w:rPr>
          <w:rFonts w:ascii="Aptos Narrow" w:hAnsi="Aptos Narrow"/>
          <w:color w:val="FF40FF"/>
          <w:sz w:val="21"/>
          <w:szCs w:val="21"/>
          <w:vertAlign w:val="superscript"/>
        </w:rPr>
        <w:t>4</w:t>
      </w:r>
    </w:p>
    <w:p w14:paraId="176C67BD" w14:textId="77777777" w:rsidR="00373842" w:rsidRPr="005521E0" w:rsidRDefault="00373842" w:rsidP="00373842">
      <w:pPr>
        <w:spacing w:after="80" w:line="280" w:lineRule="exact"/>
        <w:ind w:left="101"/>
        <w:rPr>
          <w:rFonts w:ascii="Aptos Narrow" w:hAnsi="Aptos Narrow"/>
          <w:color w:val="FF40FF"/>
          <w:sz w:val="21"/>
          <w:szCs w:val="21"/>
        </w:rPr>
      </w:pPr>
      <w:r>
        <w:rPr>
          <w:rFonts w:ascii="Aptos Narrow" w:hAnsi="Aptos Narrow"/>
          <w:color w:val="FF40FF"/>
          <w:sz w:val="21"/>
          <w:szCs w:val="21"/>
          <w:vertAlign w:val="superscript"/>
        </w:rPr>
        <w:lastRenderedPageBreak/>
        <w:t>‡</w:t>
      </w:r>
      <w:r w:rsidRPr="005521E0">
        <w:rPr>
          <w:rFonts w:ascii="Aptos Narrow" w:hAnsi="Aptos Narrow"/>
          <w:color w:val="FF40FF"/>
          <w:sz w:val="21"/>
          <w:szCs w:val="21"/>
        </w:rPr>
        <w:t>Preferred Intervention: Interventions that are based on superior efficacy, safety, and evidence; and, when appropriate, affordability.</w:t>
      </w:r>
      <w:r>
        <w:rPr>
          <w:rFonts w:ascii="Aptos Narrow" w:hAnsi="Aptos Narrow"/>
          <w:color w:val="FF40FF"/>
          <w:sz w:val="21"/>
          <w:szCs w:val="21"/>
          <w:vertAlign w:val="superscript"/>
        </w:rPr>
        <w:t>4</w:t>
      </w:r>
      <w:r>
        <w:rPr>
          <w:rFonts w:ascii="Aptos Narrow" w:hAnsi="Aptos Narrow"/>
          <w:color w:val="FF40FF"/>
          <w:sz w:val="21"/>
          <w:szCs w:val="21"/>
        </w:rPr>
        <w:t>]</w:t>
      </w:r>
    </w:p>
    <w:p w14:paraId="34D48751" w14:textId="1055C847" w:rsidR="00373842" w:rsidRPr="00B1643A" w:rsidRDefault="00373842" w:rsidP="00373842">
      <w:pPr>
        <w:spacing w:after="80" w:line="280" w:lineRule="exact"/>
        <w:ind w:left="101"/>
        <w:rPr>
          <w:rFonts w:ascii="Aptos Narrow" w:hAnsi="Aptos Narrow"/>
          <w:sz w:val="21"/>
          <w:szCs w:val="21"/>
        </w:rPr>
      </w:pPr>
      <w:r w:rsidRPr="00B1643A">
        <w:rPr>
          <w:rFonts w:ascii="Aptos Narrow" w:hAnsi="Aptos Narrow"/>
          <w:i/>
          <w:iCs/>
          <w:sz w:val="21"/>
          <w:szCs w:val="21"/>
        </w:rPr>
        <w:t>ROS1</w:t>
      </w:r>
      <w:r w:rsidRPr="00B1643A">
        <w:rPr>
          <w:rFonts w:ascii="Aptos Narrow" w:hAnsi="Aptos Narrow"/>
          <w:sz w:val="21"/>
          <w:szCs w:val="21"/>
        </w:rPr>
        <w:t>, ROS proto-oncogene 1</w:t>
      </w:r>
      <w:r w:rsidR="001654B1" w:rsidRPr="001654B1">
        <w:rPr>
          <w:rFonts w:ascii="Aptos Narrow" w:hAnsi="Aptos Narrow"/>
          <w:color w:val="FF40FF"/>
          <w:sz w:val="21"/>
          <w:szCs w:val="21"/>
        </w:rPr>
        <w:t>[</w:t>
      </w:r>
      <w:r w:rsidR="00FE16FB">
        <w:rPr>
          <w:rFonts w:ascii="Aptos Narrow" w:hAnsi="Aptos Narrow"/>
          <w:sz w:val="21"/>
          <w:szCs w:val="21"/>
        </w:rPr>
        <w:t>; TKI, tyrosine kinase inhibitor</w:t>
      </w:r>
      <w:r w:rsidR="001654B1" w:rsidRPr="001654B1">
        <w:rPr>
          <w:rFonts w:ascii="Aptos Narrow" w:hAnsi="Aptos Narrow"/>
          <w:color w:val="FF40FF"/>
          <w:sz w:val="21"/>
          <w:szCs w:val="21"/>
        </w:rPr>
        <w:t>]</w:t>
      </w:r>
      <w:r w:rsidRPr="00B1643A">
        <w:rPr>
          <w:rFonts w:ascii="Aptos Narrow" w:hAnsi="Aptos Narrow"/>
          <w:sz w:val="21"/>
          <w:szCs w:val="21"/>
        </w:rPr>
        <w:t>.</w:t>
      </w:r>
    </w:p>
    <w:p w14:paraId="5857F71B" w14:textId="77777777" w:rsidR="00373842" w:rsidRPr="00354166" w:rsidRDefault="00373842" w:rsidP="00373842">
      <w:pPr>
        <w:spacing w:after="80" w:line="280" w:lineRule="exact"/>
        <w:ind w:left="101"/>
        <w:rPr>
          <w:rFonts w:ascii="Aptos Narrow" w:hAnsi="Aptos Narrow"/>
          <w:color w:val="000000" w:themeColor="text1"/>
          <w:sz w:val="21"/>
          <w:szCs w:val="21"/>
        </w:rPr>
      </w:pPr>
    </w:p>
    <w:p w14:paraId="3B96B31A" w14:textId="3A54FE42" w:rsidR="00373842" w:rsidRPr="00373842" w:rsidRDefault="00373842" w:rsidP="001B2A4D">
      <w:pPr>
        <w:spacing w:after="80" w:line="280" w:lineRule="exact"/>
        <w:ind w:left="101"/>
        <w:rPr>
          <w:rFonts w:ascii="Aptos Narrow" w:hAnsi="Aptos Narrow"/>
          <w:color w:val="FF40FF"/>
          <w:sz w:val="21"/>
          <w:szCs w:val="21"/>
        </w:rPr>
      </w:pPr>
      <w:r w:rsidRPr="00B47AFD">
        <w:rPr>
          <w:rFonts w:ascii="Aptos Narrow" w:hAnsi="Aptos Narrow"/>
          <w:color w:val="FF40FF"/>
          <w:sz w:val="21"/>
          <w:szCs w:val="21"/>
        </w:rPr>
        <w:t xml:space="preserve">[References: </w:t>
      </w:r>
      <w:r w:rsidRPr="00B47AFD">
        <w:rPr>
          <w:rFonts w:ascii="Aptos Narrow" w:hAnsi="Aptos Narrow"/>
          <w:b/>
          <w:bCs/>
          <w:color w:val="FF40FF"/>
          <w:sz w:val="21"/>
          <w:szCs w:val="21"/>
        </w:rPr>
        <w:t>1.</w:t>
      </w:r>
      <w:r w:rsidRPr="00B47AFD">
        <w:rPr>
          <w:color w:val="FF40FF"/>
        </w:rPr>
        <w:t xml:space="preserve"> </w:t>
      </w:r>
      <w:r w:rsidRPr="00B47AFD">
        <w:rPr>
          <w:rFonts w:ascii="Aptos Narrow" w:hAnsi="Aptos Narrow"/>
          <w:color w:val="FF40FF"/>
          <w:sz w:val="21"/>
          <w:szCs w:val="21"/>
        </w:rPr>
        <w:t>IBTROZI</w:t>
      </w:r>
      <w:r>
        <w:rPr>
          <w:rFonts w:ascii="Aptos Narrow" w:hAnsi="Aptos Narrow"/>
          <w:color w:val="FF40FF"/>
          <w:sz w:val="21"/>
          <w:szCs w:val="21"/>
        </w:rPr>
        <w:t>®</w:t>
      </w:r>
      <w:r w:rsidRPr="00B47AFD">
        <w:rPr>
          <w:rFonts w:ascii="Aptos Narrow" w:hAnsi="Aptos Narrow"/>
          <w:color w:val="FF40FF"/>
          <w:sz w:val="21"/>
          <w:szCs w:val="21"/>
        </w:rPr>
        <w:t xml:space="preserve"> (</w:t>
      </w:r>
      <w:proofErr w:type="spellStart"/>
      <w:r w:rsidRPr="00B47AFD">
        <w:rPr>
          <w:rFonts w:ascii="Aptos Narrow" w:hAnsi="Aptos Narrow"/>
          <w:color w:val="FF40FF"/>
          <w:sz w:val="21"/>
          <w:szCs w:val="21"/>
        </w:rPr>
        <w:t>taletrectinib</w:t>
      </w:r>
      <w:proofErr w:type="spellEnd"/>
      <w:r w:rsidRPr="00B47AFD">
        <w:rPr>
          <w:rFonts w:ascii="Aptos Narrow" w:hAnsi="Aptos Narrow"/>
          <w:color w:val="FF40FF"/>
          <w:sz w:val="21"/>
          <w:szCs w:val="21"/>
        </w:rPr>
        <w:t xml:space="preserve">). Prescribing Information. </w:t>
      </w:r>
      <w:proofErr w:type="spellStart"/>
      <w:r w:rsidRPr="00B47AFD">
        <w:rPr>
          <w:rFonts w:ascii="Aptos Narrow" w:hAnsi="Aptos Narrow"/>
          <w:color w:val="FF40FF"/>
          <w:sz w:val="21"/>
          <w:szCs w:val="21"/>
        </w:rPr>
        <w:t>Nuvation</w:t>
      </w:r>
      <w:proofErr w:type="spellEnd"/>
      <w:r w:rsidRPr="00B47AFD">
        <w:rPr>
          <w:rFonts w:ascii="Aptos Narrow" w:hAnsi="Aptos Narrow"/>
          <w:color w:val="FF40FF"/>
          <w:sz w:val="21"/>
          <w:szCs w:val="21"/>
        </w:rPr>
        <w:t xml:space="preserve"> Bio Inc.; 202</w:t>
      </w:r>
      <w:r>
        <w:rPr>
          <w:rFonts w:ascii="Aptos Narrow" w:hAnsi="Aptos Narrow"/>
          <w:color w:val="FF40FF"/>
          <w:sz w:val="21"/>
          <w:szCs w:val="21"/>
        </w:rPr>
        <w:t>6</w:t>
      </w:r>
      <w:r w:rsidRPr="00B47AFD">
        <w:rPr>
          <w:rFonts w:ascii="Aptos Narrow" w:hAnsi="Aptos Narrow"/>
          <w:color w:val="FF40FF"/>
          <w:sz w:val="21"/>
          <w:szCs w:val="21"/>
        </w:rPr>
        <w:t xml:space="preserve">. </w:t>
      </w:r>
      <w:r w:rsidRPr="00B47AFD">
        <w:rPr>
          <w:rFonts w:ascii="Aptos Narrow" w:hAnsi="Aptos Narrow"/>
          <w:b/>
          <w:bCs/>
          <w:color w:val="FF40FF"/>
          <w:sz w:val="21"/>
          <w:szCs w:val="21"/>
        </w:rPr>
        <w:t>2.</w:t>
      </w:r>
      <w:r w:rsidRPr="00B47AFD">
        <w:rPr>
          <w:rFonts w:ascii="Aptos Narrow" w:hAnsi="Aptos Narrow"/>
          <w:color w:val="FF40FF"/>
          <w:sz w:val="21"/>
          <w:szCs w:val="21"/>
        </w:rPr>
        <w:t xml:space="preserve"> </w:t>
      </w:r>
      <w:proofErr w:type="spellStart"/>
      <w:r w:rsidRPr="00C228A2">
        <w:rPr>
          <w:rFonts w:ascii="Aptos Narrow" w:hAnsi="Aptos Narrow"/>
          <w:color w:val="FF40FF"/>
          <w:sz w:val="21"/>
          <w:szCs w:val="21"/>
        </w:rPr>
        <w:t>Pérol</w:t>
      </w:r>
      <w:proofErr w:type="spellEnd"/>
      <w:r w:rsidRPr="00C228A2">
        <w:rPr>
          <w:rFonts w:ascii="Aptos Narrow" w:hAnsi="Aptos Narrow"/>
          <w:color w:val="FF40FF"/>
          <w:sz w:val="21"/>
          <w:szCs w:val="21"/>
        </w:rPr>
        <w:t xml:space="preserve"> M, Li W, Pennell NA, et al.</w:t>
      </w:r>
      <w:r>
        <w:rPr>
          <w:rFonts w:ascii="Aptos Narrow" w:hAnsi="Aptos Narrow"/>
          <w:color w:val="FF40FF"/>
          <w:sz w:val="21"/>
          <w:szCs w:val="21"/>
        </w:rPr>
        <w:t xml:space="preserve"> </w:t>
      </w:r>
      <w:proofErr w:type="spellStart"/>
      <w:r>
        <w:rPr>
          <w:rFonts w:ascii="Aptos Narrow" w:hAnsi="Aptos Narrow"/>
          <w:color w:val="FF40FF"/>
          <w:sz w:val="21"/>
          <w:szCs w:val="21"/>
        </w:rPr>
        <w:t>Taletrectinib</w:t>
      </w:r>
      <w:proofErr w:type="spellEnd"/>
      <w:r>
        <w:rPr>
          <w:rFonts w:ascii="Aptos Narrow" w:hAnsi="Aptos Narrow"/>
          <w:color w:val="FF40FF"/>
          <w:sz w:val="21"/>
          <w:szCs w:val="21"/>
        </w:rPr>
        <w:t xml:space="preserve"> in </w:t>
      </w:r>
      <w:r>
        <w:rPr>
          <w:rFonts w:ascii="Aptos Narrow" w:hAnsi="Aptos Narrow"/>
          <w:i/>
          <w:iCs/>
          <w:color w:val="FF40FF"/>
          <w:sz w:val="21"/>
          <w:szCs w:val="21"/>
        </w:rPr>
        <w:t>ROS1</w:t>
      </w:r>
      <w:r>
        <w:rPr>
          <w:rFonts w:ascii="Aptos Narrow" w:hAnsi="Aptos Narrow"/>
          <w:color w:val="FF40FF"/>
          <w:sz w:val="21"/>
          <w:szCs w:val="21"/>
        </w:rPr>
        <w:t xml:space="preserve">+ non-small cell lung cancer: TRUST. </w:t>
      </w:r>
      <w:r w:rsidRPr="00556DC5">
        <w:rPr>
          <w:rFonts w:ascii="Aptos Narrow" w:hAnsi="Aptos Narrow"/>
          <w:i/>
          <w:iCs/>
          <w:color w:val="FF40FF"/>
          <w:sz w:val="21"/>
          <w:szCs w:val="21"/>
        </w:rPr>
        <w:t>J</w:t>
      </w:r>
      <w:r>
        <w:rPr>
          <w:rFonts w:ascii="Aptos Narrow" w:hAnsi="Aptos Narrow"/>
          <w:i/>
          <w:iCs/>
          <w:color w:val="FF40FF"/>
          <w:sz w:val="21"/>
          <w:szCs w:val="21"/>
        </w:rPr>
        <w:t xml:space="preserve"> </w:t>
      </w:r>
      <w:proofErr w:type="spellStart"/>
      <w:r>
        <w:rPr>
          <w:rFonts w:ascii="Aptos Narrow" w:hAnsi="Aptos Narrow"/>
          <w:i/>
          <w:iCs/>
          <w:color w:val="FF40FF"/>
          <w:sz w:val="21"/>
          <w:szCs w:val="21"/>
        </w:rPr>
        <w:t>Thorac</w:t>
      </w:r>
      <w:proofErr w:type="spellEnd"/>
      <w:r>
        <w:rPr>
          <w:rFonts w:ascii="Aptos Narrow" w:hAnsi="Aptos Narrow"/>
          <w:i/>
          <w:iCs/>
          <w:color w:val="FF40FF"/>
          <w:sz w:val="21"/>
          <w:szCs w:val="21"/>
        </w:rPr>
        <w:t xml:space="preserve"> Oncol</w:t>
      </w:r>
      <w:r>
        <w:rPr>
          <w:rFonts w:ascii="Aptos Narrow" w:hAnsi="Aptos Narrow"/>
          <w:color w:val="FF40FF"/>
          <w:sz w:val="21"/>
          <w:szCs w:val="21"/>
        </w:rPr>
        <w:t xml:space="preserve">. </w:t>
      </w:r>
      <w:proofErr w:type="gramStart"/>
      <w:r>
        <w:rPr>
          <w:rFonts w:ascii="Aptos Narrow" w:hAnsi="Aptos Narrow"/>
          <w:color w:val="FF40FF"/>
          <w:sz w:val="21"/>
          <w:szCs w:val="21"/>
        </w:rPr>
        <w:t>2025;00:1</w:t>
      </w:r>
      <w:proofErr w:type="gramEnd"/>
      <w:r>
        <w:rPr>
          <w:rFonts w:ascii="Aptos Narrow" w:hAnsi="Aptos Narrow"/>
          <w:color w:val="FF40FF"/>
          <w:sz w:val="21"/>
          <w:szCs w:val="21"/>
        </w:rPr>
        <w:t xml:space="preserve">-10. </w:t>
      </w:r>
      <w:r w:rsidRPr="001945E1">
        <w:rPr>
          <w:rFonts w:ascii="Aptos Narrow" w:hAnsi="Aptos Narrow"/>
          <w:color w:val="FF40FF"/>
          <w:sz w:val="21"/>
          <w:szCs w:val="21"/>
        </w:rPr>
        <w:t>doi:10.1200/JCO-25-00275</w:t>
      </w:r>
      <w:r w:rsidRPr="00C228A2">
        <w:rPr>
          <w:rFonts w:ascii="Aptos Narrow" w:hAnsi="Aptos Narrow"/>
          <w:color w:val="FF40FF"/>
          <w:sz w:val="21"/>
          <w:szCs w:val="21"/>
        </w:rPr>
        <w:t xml:space="preserve"> </w:t>
      </w:r>
      <w:r>
        <w:rPr>
          <w:rFonts w:ascii="Aptos Narrow" w:hAnsi="Aptos Narrow"/>
          <w:b/>
          <w:bCs/>
          <w:color w:val="FF40FF"/>
          <w:sz w:val="21"/>
          <w:szCs w:val="21"/>
        </w:rPr>
        <w:t>3.</w:t>
      </w:r>
      <w:r>
        <w:rPr>
          <w:rFonts w:ascii="Aptos Narrow" w:hAnsi="Aptos Narrow"/>
          <w:color w:val="FF40FF"/>
          <w:sz w:val="21"/>
          <w:szCs w:val="21"/>
        </w:rPr>
        <w:t xml:space="preserve"> </w:t>
      </w:r>
      <w:r w:rsidRPr="00B47AFD">
        <w:rPr>
          <w:rFonts w:ascii="Aptos Narrow" w:hAnsi="Aptos Narrow"/>
          <w:color w:val="FF40FF"/>
          <w:sz w:val="21"/>
          <w:szCs w:val="21"/>
        </w:rPr>
        <w:t xml:space="preserve">Data on file. </w:t>
      </w:r>
      <w:proofErr w:type="spellStart"/>
      <w:r w:rsidRPr="00B47AFD">
        <w:rPr>
          <w:rFonts w:ascii="Aptos Narrow" w:hAnsi="Aptos Narrow"/>
          <w:color w:val="FF40FF"/>
          <w:sz w:val="21"/>
          <w:szCs w:val="21"/>
        </w:rPr>
        <w:t>Nuvation</w:t>
      </w:r>
      <w:proofErr w:type="spellEnd"/>
      <w:r w:rsidRPr="00B47AFD">
        <w:rPr>
          <w:rFonts w:ascii="Aptos Narrow" w:hAnsi="Aptos Narrow"/>
          <w:color w:val="FF40FF"/>
          <w:sz w:val="21"/>
          <w:szCs w:val="21"/>
        </w:rPr>
        <w:t xml:space="preserve"> Bio Inc.</w:t>
      </w:r>
      <w:r>
        <w:rPr>
          <w:rFonts w:ascii="Aptos Narrow" w:hAnsi="Aptos Narrow"/>
          <w:color w:val="FF40FF"/>
          <w:sz w:val="21"/>
          <w:szCs w:val="21"/>
        </w:rPr>
        <w:t xml:space="preserve"> </w:t>
      </w:r>
      <w:r>
        <w:rPr>
          <w:rFonts w:ascii="Aptos Narrow" w:hAnsi="Aptos Narrow"/>
          <w:b/>
          <w:bCs/>
          <w:color w:val="FF40FF"/>
          <w:sz w:val="21"/>
          <w:szCs w:val="21"/>
        </w:rPr>
        <w:t xml:space="preserve">4. </w:t>
      </w:r>
      <w:r w:rsidRPr="00B47AFD">
        <w:rPr>
          <w:rFonts w:ascii="Aptos Narrow" w:hAnsi="Aptos Narrow"/>
          <w:color w:val="FF40FF"/>
          <w:sz w:val="21"/>
          <w:szCs w:val="21"/>
        </w:rPr>
        <w:t>Referenced with permission from the NCCN Clinical Practice Guidelines in Oncology (NCCN Guidelines®) for Non-Small Cell Lung Cancer [V.</w:t>
      </w:r>
      <w:r w:rsidR="00EF3A20">
        <w:rPr>
          <w:rFonts w:ascii="Aptos Narrow" w:hAnsi="Aptos Narrow"/>
          <w:color w:val="FF40FF"/>
          <w:sz w:val="21"/>
          <w:szCs w:val="21"/>
        </w:rPr>
        <w:t>7</w:t>
      </w:r>
      <w:r w:rsidRPr="00B47AFD">
        <w:rPr>
          <w:rFonts w:ascii="Aptos Narrow" w:hAnsi="Aptos Narrow"/>
          <w:color w:val="FF40FF"/>
          <w:sz w:val="21"/>
          <w:szCs w:val="21"/>
        </w:rPr>
        <w:t>.202</w:t>
      </w:r>
      <w:r>
        <w:rPr>
          <w:rFonts w:ascii="Aptos Narrow" w:hAnsi="Aptos Narrow"/>
          <w:color w:val="FF40FF"/>
          <w:sz w:val="21"/>
          <w:szCs w:val="21"/>
        </w:rPr>
        <w:t>6</w:t>
      </w:r>
      <w:r w:rsidRPr="00B47AFD">
        <w:rPr>
          <w:rFonts w:ascii="Aptos Narrow" w:hAnsi="Aptos Narrow"/>
          <w:color w:val="FF40FF"/>
          <w:sz w:val="21"/>
          <w:szCs w:val="21"/>
        </w:rPr>
        <w:t>]. © National Comprehensive Cancer Network, Inc. 202</w:t>
      </w:r>
      <w:r>
        <w:rPr>
          <w:rFonts w:ascii="Aptos Narrow" w:hAnsi="Aptos Narrow"/>
          <w:color w:val="FF40FF"/>
          <w:sz w:val="21"/>
          <w:szCs w:val="21"/>
        </w:rPr>
        <w:t>6</w:t>
      </w:r>
      <w:r w:rsidRPr="00B47AFD">
        <w:rPr>
          <w:rFonts w:ascii="Aptos Narrow" w:hAnsi="Aptos Narrow"/>
          <w:color w:val="FF40FF"/>
          <w:sz w:val="21"/>
          <w:szCs w:val="21"/>
        </w:rPr>
        <w:t>. All rights reserved. Accessed [</w:t>
      </w:r>
      <w:r w:rsidR="00EF3A20">
        <w:rPr>
          <w:rFonts w:ascii="Aptos Narrow" w:hAnsi="Aptos Narrow"/>
          <w:color w:val="FF40FF"/>
          <w:sz w:val="21"/>
          <w:szCs w:val="21"/>
        </w:rPr>
        <w:t>August 12</w:t>
      </w:r>
      <w:r w:rsidRPr="00B47AFD">
        <w:rPr>
          <w:rFonts w:ascii="Aptos Narrow" w:hAnsi="Aptos Narrow"/>
          <w:color w:val="FF40FF"/>
          <w:sz w:val="21"/>
          <w:szCs w:val="21"/>
        </w:rPr>
        <w:t>, 202</w:t>
      </w:r>
      <w:r>
        <w:rPr>
          <w:rFonts w:ascii="Aptos Narrow" w:hAnsi="Aptos Narrow"/>
          <w:color w:val="FF40FF"/>
          <w:sz w:val="21"/>
          <w:szCs w:val="21"/>
        </w:rPr>
        <w:t>6</w:t>
      </w:r>
      <w:r w:rsidRPr="00B47AFD">
        <w:rPr>
          <w:rFonts w:ascii="Aptos Narrow" w:hAnsi="Aptos Narrow"/>
          <w:color w:val="FF40FF"/>
          <w:sz w:val="21"/>
          <w:szCs w:val="21"/>
        </w:rPr>
        <w:t xml:space="preserve">]. To view the most recent and complete version of the guideline, go online to NCCN.org. NCCN makes no warranties of any kind </w:t>
      </w:r>
      <w:r>
        <w:rPr>
          <w:rFonts w:ascii="Aptos Narrow" w:hAnsi="Aptos Narrow"/>
          <w:color w:val="FF40FF"/>
          <w:sz w:val="21"/>
          <w:szCs w:val="21"/>
        </w:rPr>
        <w:t>whatsoever</w:t>
      </w:r>
      <w:r w:rsidRPr="00B47AFD">
        <w:rPr>
          <w:rFonts w:ascii="Aptos Narrow" w:hAnsi="Aptos Narrow"/>
          <w:color w:val="FF40FF"/>
          <w:sz w:val="21"/>
          <w:szCs w:val="21"/>
        </w:rPr>
        <w:t xml:space="preserve"> regarding their content, use or application and disclaims any responsibility for their application or use in any way.]</w:t>
      </w:r>
    </w:p>
    <w:p w14:paraId="4FE9F5FD" w14:textId="78799627" w:rsidR="00373842" w:rsidRPr="001B2A4D" w:rsidRDefault="001B2A4D">
      <w:pPr>
        <w:rPr>
          <w:b/>
          <w:bCs/>
          <w:sz w:val="21"/>
          <w:szCs w:val="21"/>
        </w:rPr>
      </w:pPr>
      <w:r>
        <w:rPr>
          <w:noProof/>
        </w:rPr>
        <mc:AlternateContent>
          <mc:Choice Requires="wps">
            <w:drawing>
              <wp:anchor distT="0" distB="0" distL="114300" distR="114300" simplePos="0" relativeHeight="251661312" behindDoc="1" locked="0" layoutInCell="1" allowOverlap="1" wp14:anchorId="3CF5985E" wp14:editId="1EF7D16F">
                <wp:simplePos x="0" y="0"/>
                <wp:positionH relativeFrom="column">
                  <wp:posOffset>-63500</wp:posOffset>
                </wp:positionH>
                <wp:positionV relativeFrom="paragraph">
                  <wp:posOffset>160230</wp:posOffset>
                </wp:positionV>
                <wp:extent cx="1828800" cy="1828800"/>
                <wp:effectExtent l="0" t="0" r="8890" b="13335"/>
                <wp:wrapTight wrapText="bothSides">
                  <wp:wrapPolygon edited="0">
                    <wp:start x="0" y="0"/>
                    <wp:lineTo x="0" y="21618"/>
                    <wp:lineTo x="21587" y="21618"/>
                    <wp:lineTo x="21587" y="0"/>
                    <wp:lineTo x="0" y="0"/>
                  </wp:wrapPolygon>
                </wp:wrapTight>
                <wp:docPr id="112163451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ADBC314" w14:textId="77777777" w:rsidR="00373842" w:rsidRPr="00885093" w:rsidRDefault="00373842" w:rsidP="0099596B">
                            <w:pPr>
                              <w:pStyle w:val="Header"/>
                              <w:rPr>
                                <w:rFonts w:ascii="Aptos Narrow" w:hAnsi="Aptos Narrow"/>
                                <w:i/>
                                <w:iCs/>
                                <w:sz w:val="20"/>
                                <w:szCs w:val="20"/>
                              </w:rPr>
                            </w:pPr>
                            <w:r w:rsidRPr="00885093">
                              <w:rPr>
                                <w:rFonts w:ascii="Aptos Narrow" w:hAnsi="Aptos Narrow"/>
                                <w:i/>
                                <w:iCs/>
                                <w:sz w:val="20"/>
                                <w:szCs w:val="20"/>
                              </w:rPr>
                              <w:t>Note: This example letter is provided as a courtesy and not intended to be a directive. Physicians should exercise medical judgment and discretion to appropriately diagnose and characterize the individual patient’s medical condition. In addition, healthcare professionals (HCPs) are responsible for ensuring the accuracy and validity of all billing and claims for appropriate reimbursement.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CF5985E" id="_x0000_t202" coordsize="21600,21600" o:spt="202" path="m,l,21600r21600,l21600,xe">
                <v:stroke joinstyle="miter"/>
                <v:path gradientshapeok="t" o:connecttype="rect"/>
              </v:shapetype>
              <v:shape id="Text Box 1" o:spid="_x0000_s1026" type="#_x0000_t202" style="position:absolute;margin-left:-5pt;margin-top:12.6pt;width:2in;height:2in;z-index:-2516551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" filled="f" strokeweight=".5pt">
                <v:textbox style="mso-fit-shape-to-text:t">
                  <w:txbxContent>
                    <w:p w14:paraId="3ADBC314" w14:textId="77777777" w:rsidR="00373842" w:rsidRPr="00885093" w:rsidRDefault="00373842" w:rsidP="0099596B">
                      <w:pPr>
                        <w:pStyle w:val="Header"/>
                        <w:rPr>
                          <w:rFonts w:ascii="Aptos Narrow" w:hAnsi="Aptos Narrow"/>
                          <w:i/>
                          <w:iCs/>
                          <w:sz w:val="20"/>
                          <w:szCs w:val="20"/>
                        </w:rPr>
                      </w:pPr>
                      <w:r w:rsidRPr="00885093">
                        <w:rPr>
                          <w:rFonts w:ascii="Aptos Narrow" w:hAnsi="Aptos Narrow"/>
                          <w:i/>
                          <w:iCs/>
                          <w:sz w:val="20"/>
                          <w:szCs w:val="20"/>
                        </w:rPr>
                        <w:t>Note: This example letter is provided as a courtesy and not intended to be a directive. Physicians should exercise medical judgment and discretion to appropriately diagnose and characterize the individual patient’s medical condition. In addition, healthcare professionals (HCPs) are responsible for ensuring the accuracy and validity of all billing and claims for appropriate reimbursement.</w:t>
                      </w:r>
                    </w:p>
                  </w:txbxContent>
                </v:textbox>
                <w10:wrap type="tight"/>
              </v:shape>
            </w:pict>
          </mc:Fallback>
        </mc:AlternateContent>
      </w:r>
    </w:p>
    <w:p w14:paraId="5D8EC2A6" w14:textId="0DDAB7FE" w:rsidR="00373842" w:rsidRPr="00386150" w:rsidRDefault="00373842" w:rsidP="00373842">
      <w:pPr>
        <w:spacing w:after="120" w:line="240" w:lineRule="auto"/>
        <w:rPr>
          <w:rFonts w:ascii="Aptos Narrow" w:hAnsi="Aptos Narrow" w:cstheme="minorHAnsi"/>
        </w:rPr>
      </w:pPr>
      <w:r w:rsidRPr="00386150">
        <w:rPr>
          <w:rFonts w:ascii="Aptos Narrow" w:hAnsi="Aptos Narrow" w:cstheme="minorHAnsi"/>
        </w:rPr>
        <w:t xml:space="preserve">IBTROZI is a registered trademark of </w:t>
      </w:r>
      <w:proofErr w:type="spellStart"/>
      <w:r w:rsidRPr="00386150">
        <w:rPr>
          <w:rFonts w:ascii="Aptos Narrow" w:hAnsi="Aptos Narrow" w:cstheme="minorHAnsi"/>
        </w:rPr>
        <w:t>Nuvation</w:t>
      </w:r>
      <w:proofErr w:type="spellEnd"/>
      <w:r w:rsidRPr="00386150">
        <w:rPr>
          <w:rFonts w:ascii="Aptos Narrow" w:hAnsi="Aptos Narrow" w:cstheme="minorHAnsi"/>
        </w:rPr>
        <w:t xml:space="preserve"> Bio Inc.</w:t>
      </w:r>
    </w:p>
    <w:p w14:paraId="25B6C403" w14:textId="77777777" w:rsidR="0020581E" w:rsidRDefault="00373842" w:rsidP="006D09DD">
      <w:pPr>
        <w:spacing w:after="120" w:line="240" w:lineRule="auto"/>
        <w:rPr>
          <w:b/>
          <w:bCs/>
          <w:sz w:val="32"/>
          <w:szCs w:val="32"/>
        </w:rPr>
      </w:pPr>
      <w:r w:rsidRPr="00386150">
        <w:rPr>
          <w:rFonts w:ascii="Aptos Narrow" w:hAnsi="Aptos Narrow" w:cstheme="minorHAnsi"/>
        </w:rPr>
        <w:t xml:space="preserve">©2026 </w:t>
      </w:r>
      <w:proofErr w:type="spellStart"/>
      <w:r w:rsidRPr="00386150">
        <w:rPr>
          <w:rFonts w:ascii="Aptos Narrow" w:hAnsi="Aptos Narrow" w:cstheme="minorHAnsi"/>
        </w:rPr>
        <w:t>Nuvation</w:t>
      </w:r>
      <w:proofErr w:type="spellEnd"/>
      <w:r w:rsidRPr="00386150">
        <w:rPr>
          <w:rFonts w:ascii="Aptos Narrow" w:hAnsi="Aptos Narrow" w:cstheme="minorHAnsi"/>
        </w:rPr>
        <w:t xml:space="preserve"> Bio Inc. All rights reserved. MAT-IBT-0065 v3 08/2026</w:t>
      </w:r>
    </w:p>
    <w:p w14:paraId="2F0281D3" w14:textId="77777777" w:rsidR="006D09DD" w:rsidRPr="00EA22C8" w:rsidRDefault="006D09DD" w:rsidP="006D09DD">
      <w:pPr>
        <w:spacing w:after="120" w:line="240" w:lineRule="auto"/>
        <w:rPr>
          <w:rFonts w:ascii="Aptos Narrow" w:hAnsi="Aptos Narrow"/>
          <w:b/>
          <w:bCs/>
          <w:sz w:val="21"/>
          <w:szCs w:val="21"/>
        </w:rPr>
      </w:pPr>
    </w:p>
    <w:p w14:paraId="3FE5469D" w14:textId="77777777" w:rsidR="006D09DD" w:rsidRPr="00EA22C8" w:rsidRDefault="006D09DD" w:rsidP="006D09DD">
      <w:pPr>
        <w:spacing w:after="120" w:line="240" w:lineRule="auto"/>
        <w:rPr>
          <w:rFonts w:ascii="Aptos Narrow" w:hAnsi="Aptos Narrow"/>
          <w:b/>
          <w:bCs/>
          <w:sz w:val="21"/>
          <w:szCs w:val="21"/>
        </w:rPr>
      </w:pPr>
    </w:p>
    <w:p w14:paraId="08BBA904" w14:textId="77777777" w:rsidR="00C969D2" w:rsidRPr="00EA22C8" w:rsidRDefault="00C969D2" w:rsidP="006D09DD">
      <w:pPr>
        <w:spacing w:after="120" w:line="240" w:lineRule="auto"/>
        <w:rPr>
          <w:rFonts w:ascii="Aptos Narrow" w:hAnsi="Aptos Narrow"/>
          <w:b/>
          <w:bCs/>
          <w:sz w:val="21"/>
          <w:szCs w:val="21"/>
        </w:rPr>
      </w:pPr>
    </w:p>
    <w:p w14:paraId="64811F1E" w14:textId="77777777" w:rsidR="00C969D2" w:rsidRPr="00EA22C8" w:rsidRDefault="00C969D2" w:rsidP="006D09DD">
      <w:pPr>
        <w:spacing w:after="120" w:line="240" w:lineRule="auto"/>
        <w:rPr>
          <w:rFonts w:ascii="Aptos Narrow" w:hAnsi="Aptos Narrow"/>
          <w:b/>
          <w:bCs/>
          <w:sz w:val="21"/>
          <w:szCs w:val="21"/>
        </w:rPr>
      </w:pPr>
    </w:p>
    <w:p w14:paraId="633A62C7" w14:textId="77777777" w:rsidR="00C969D2" w:rsidRPr="00EA22C8" w:rsidRDefault="00C969D2" w:rsidP="006D09DD">
      <w:pPr>
        <w:spacing w:after="120" w:line="240" w:lineRule="auto"/>
        <w:rPr>
          <w:rFonts w:ascii="Aptos Narrow" w:hAnsi="Aptos Narrow"/>
          <w:b/>
          <w:bCs/>
          <w:sz w:val="21"/>
          <w:szCs w:val="21"/>
        </w:rPr>
      </w:pPr>
    </w:p>
    <w:p w14:paraId="71AA083E" w14:textId="77777777" w:rsidR="00C969D2" w:rsidRPr="00EA22C8" w:rsidRDefault="00C969D2" w:rsidP="006D09DD">
      <w:pPr>
        <w:spacing w:after="120" w:line="240" w:lineRule="auto"/>
        <w:rPr>
          <w:rFonts w:ascii="Aptos Narrow" w:hAnsi="Aptos Narrow"/>
          <w:b/>
          <w:bCs/>
          <w:sz w:val="21"/>
          <w:szCs w:val="21"/>
        </w:rPr>
      </w:pPr>
    </w:p>
    <w:p w14:paraId="7EF96313" w14:textId="77777777" w:rsidR="00C969D2" w:rsidRPr="00EA22C8" w:rsidRDefault="00C969D2" w:rsidP="006D09DD">
      <w:pPr>
        <w:spacing w:after="120" w:line="240" w:lineRule="auto"/>
        <w:rPr>
          <w:rFonts w:ascii="Aptos Narrow" w:hAnsi="Aptos Narrow"/>
          <w:b/>
          <w:bCs/>
          <w:sz w:val="21"/>
          <w:szCs w:val="21"/>
        </w:rPr>
      </w:pPr>
    </w:p>
    <w:p w14:paraId="74B826F4" w14:textId="77777777" w:rsidR="00C969D2" w:rsidRPr="00EA22C8" w:rsidRDefault="00C969D2" w:rsidP="006D09DD">
      <w:pPr>
        <w:spacing w:after="120" w:line="240" w:lineRule="auto"/>
        <w:rPr>
          <w:rFonts w:ascii="Aptos Narrow" w:hAnsi="Aptos Narrow"/>
          <w:b/>
          <w:bCs/>
          <w:sz w:val="21"/>
          <w:szCs w:val="21"/>
        </w:rPr>
      </w:pPr>
    </w:p>
    <w:p w14:paraId="4B0FAC2F" w14:textId="77777777" w:rsidR="00C969D2" w:rsidRPr="00EA22C8" w:rsidRDefault="00C969D2" w:rsidP="006D09DD">
      <w:pPr>
        <w:spacing w:after="120" w:line="240" w:lineRule="auto"/>
        <w:rPr>
          <w:rFonts w:ascii="Aptos Narrow" w:hAnsi="Aptos Narrow"/>
          <w:b/>
          <w:bCs/>
          <w:sz w:val="21"/>
          <w:szCs w:val="21"/>
        </w:rPr>
      </w:pPr>
    </w:p>
    <w:p w14:paraId="38EAF56F" w14:textId="77777777" w:rsidR="00C969D2" w:rsidRPr="00EA22C8" w:rsidRDefault="00C969D2" w:rsidP="006D09DD">
      <w:pPr>
        <w:spacing w:after="120" w:line="240" w:lineRule="auto"/>
        <w:rPr>
          <w:rFonts w:ascii="Aptos Narrow" w:hAnsi="Aptos Narrow"/>
          <w:b/>
          <w:bCs/>
          <w:sz w:val="21"/>
          <w:szCs w:val="21"/>
        </w:rPr>
      </w:pPr>
    </w:p>
    <w:p w14:paraId="450B82C5" w14:textId="77777777" w:rsidR="00C969D2" w:rsidRPr="00EA22C8" w:rsidRDefault="00C969D2" w:rsidP="006D09DD">
      <w:pPr>
        <w:spacing w:after="120" w:line="240" w:lineRule="auto"/>
        <w:rPr>
          <w:rFonts w:ascii="Aptos Narrow" w:hAnsi="Aptos Narrow"/>
          <w:b/>
          <w:bCs/>
          <w:sz w:val="21"/>
          <w:szCs w:val="21"/>
        </w:rPr>
      </w:pPr>
    </w:p>
    <w:p w14:paraId="5B5064C0" w14:textId="77777777" w:rsidR="00C969D2" w:rsidRDefault="00C969D2" w:rsidP="006D09DD">
      <w:pPr>
        <w:spacing w:after="120" w:line="240" w:lineRule="auto"/>
        <w:rPr>
          <w:rFonts w:ascii="Aptos Narrow" w:hAnsi="Aptos Narrow"/>
          <w:b/>
          <w:bCs/>
          <w:sz w:val="21"/>
          <w:szCs w:val="21"/>
        </w:rPr>
      </w:pPr>
    </w:p>
    <w:p w14:paraId="3C6D0B2B" w14:textId="77777777" w:rsidR="00EA22C8" w:rsidRDefault="00EA22C8" w:rsidP="006D09DD">
      <w:pPr>
        <w:spacing w:after="120" w:line="240" w:lineRule="auto"/>
        <w:rPr>
          <w:rFonts w:ascii="Aptos Narrow" w:hAnsi="Aptos Narrow"/>
          <w:b/>
          <w:bCs/>
          <w:sz w:val="21"/>
          <w:szCs w:val="21"/>
        </w:rPr>
      </w:pPr>
    </w:p>
    <w:p w14:paraId="76304056" w14:textId="77777777" w:rsidR="00EA22C8" w:rsidRDefault="00EA22C8" w:rsidP="006D09DD">
      <w:pPr>
        <w:spacing w:after="120" w:line="240" w:lineRule="auto"/>
        <w:rPr>
          <w:rFonts w:ascii="Aptos Narrow" w:hAnsi="Aptos Narrow"/>
          <w:b/>
          <w:bCs/>
          <w:sz w:val="21"/>
          <w:szCs w:val="21"/>
        </w:rPr>
      </w:pPr>
    </w:p>
    <w:p w14:paraId="77483359" w14:textId="77777777" w:rsidR="00EA22C8" w:rsidRDefault="00EA22C8" w:rsidP="006D09DD">
      <w:pPr>
        <w:spacing w:after="120" w:line="240" w:lineRule="auto"/>
        <w:rPr>
          <w:rFonts w:ascii="Aptos Narrow" w:hAnsi="Aptos Narrow"/>
          <w:b/>
          <w:bCs/>
          <w:sz w:val="21"/>
          <w:szCs w:val="21"/>
        </w:rPr>
      </w:pPr>
    </w:p>
    <w:p w14:paraId="5F37FDA8" w14:textId="77777777" w:rsidR="00EA22C8" w:rsidRDefault="00EA22C8" w:rsidP="006D09DD">
      <w:pPr>
        <w:spacing w:after="120" w:line="240" w:lineRule="auto"/>
        <w:rPr>
          <w:rFonts w:ascii="Aptos Narrow" w:hAnsi="Aptos Narrow"/>
          <w:b/>
          <w:bCs/>
          <w:sz w:val="21"/>
          <w:szCs w:val="21"/>
        </w:rPr>
      </w:pPr>
    </w:p>
    <w:p w14:paraId="78B52EC6" w14:textId="77777777" w:rsidR="00EA22C8" w:rsidRDefault="00EA22C8" w:rsidP="006D09DD">
      <w:pPr>
        <w:spacing w:after="120" w:line="240" w:lineRule="auto"/>
        <w:rPr>
          <w:rFonts w:ascii="Aptos Narrow" w:hAnsi="Aptos Narrow"/>
          <w:b/>
          <w:bCs/>
          <w:sz w:val="21"/>
          <w:szCs w:val="21"/>
        </w:rPr>
      </w:pPr>
    </w:p>
    <w:p w14:paraId="2BAD6B4E" w14:textId="77777777" w:rsidR="00EA22C8" w:rsidRPr="00EA22C8" w:rsidRDefault="00EA22C8" w:rsidP="006D09DD">
      <w:pPr>
        <w:spacing w:after="120" w:line="240" w:lineRule="auto"/>
        <w:rPr>
          <w:rFonts w:ascii="Aptos Narrow" w:hAnsi="Aptos Narrow"/>
          <w:b/>
          <w:bCs/>
          <w:sz w:val="21"/>
          <w:szCs w:val="21"/>
        </w:rPr>
      </w:pPr>
    </w:p>
    <w:p w14:paraId="779191F0" w14:textId="0058F779" w:rsidR="00EA22C8" w:rsidRPr="00EA22C8" w:rsidRDefault="00EA22C8" w:rsidP="006D09DD">
      <w:pPr>
        <w:spacing w:after="120" w:line="240" w:lineRule="auto"/>
        <w:rPr>
          <w:rStyle w:val="normaltextrun"/>
          <w:rFonts w:ascii="Aptos Narrow" w:hAnsi="Aptos Narrow" w:cstheme="minorHAnsi"/>
          <w:sz w:val="21"/>
          <w:szCs w:val="21"/>
        </w:rPr>
        <w:sectPr w:rsidR="00EA22C8" w:rsidRPr="00EA22C8" w:rsidSect="00E70445">
          <w:pgSz w:w="12240" w:h="15840"/>
          <w:pgMar w:top="1152" w:right="1152" w:bottom="1152" w:left="1152" w:header="720" w:footer="720" w:gutter="0"/>
          <w:cols w:space="720"/>
          <w:docGrid w:linePitch="360"/>
        </w:sectPr>
      </w:pPr>
    </w:p>
    <w:p w14:paraId="016F1551" w14:textId="77777777" w:rsidR="001B2A4D" w:rsidRDefault="001B2A4D" w:rsidP="00A114C5">
      <w:pPr>
        <w:pStyle w:val="BasicParagraph"/>
        <w:suppressAutoHyphens/>
        <w:spacing w:line="240" w:lineRule="auto"/>
        <w:rPr>
          <w:rFonts w:ascii="Plus Jakarta Sans ExtraBold" w:hAnsi="Plus Jakarta Sans ExtraBold" w:cs="Plus Jakarta Sans ExtraBold"/>
          <w:b/>
          <w:bCs/>
          <w:color w:val="C25D6A"/>
          <w:sz w:val="21"/>
          <w:szCs w:val="21"/>
        </w:rPr>
      </w:pPr>
    </w:p>
    <w:p w14:paraId="6EEB7F06" w14:textId="77777777" w:rsidR="001B2A4D" w:rsidRDefault="001B2A4D" w:rsidP="00A114C5">
      <w:pPr>
        <w:pStyle w:val="BasicParagraph"/>
        <w:suppressAutoHyphens/>
        <w:spacing w:line="240" w:lineRule="auto"/>
        <w:rPr>
          <w:rFonts w:ascii="Plus Jakarta Sans ExtraBold" w:hAnsi="Plus Jakarta Sans ExtraBold" w:cs="Plus Jakarta Sans ExtraBold"/>
          <w:b/>
          <w:bCs/>
          <w:color w:val="C25D6A"/>
          <w:sz w:val="21"/>
          <w:szCs w:val="21"/>
        </w:rPr>
      </w:pPr>
    </w:p>
    <w:p w14:paraId="203469B1" w14:textId="77777777" w:rsidR="00685C85" w:rsidRPr="001B327C" w:rsidRDefault="00685C85" w:rsidP="00685C85">
      <w:pPr>
        <w:pStyle w:val="BasicParagraph"/>
        <w:suppressAutoHyphens/>
        <w:spacing w:line="203" w:lineRule="auto"/>
        <w:rPr>
          <w:rFonts w:ascii="Aptos Narrow" w:hAnsi="Aptos Narrow" w:cs="Plus Jakarta Sans"/>
          <w:b/>
          <w:bCs/>
          <w:color w:val="C25D6A"/>
          <w:spacing w:val="-10"/>
          <w:sz w:val="20"/>
          <w:szCs w:val="20"/>
        </w:rPr>
      </w:pPr>
      <w:r w:rsidRPr="001B327C">
        <w:rPr>
          <w:rFonts w:ascii="Aptos Narrow" w:hAnsi="Aptos Narrow" w:cs="Plus Jakarta Sans"/>
          <w:b/>
          <w:bCs/>
          <w:color w:val="C25D6A"/>
          <w:spacing w:val="-10"/>
          <w:sz w:val="20"/>
          <w:szCs w:val="20"/>
        </w:rPr>
        <w:lastRenderedPageBreak/>
        <w:t>IMPORTANT SAFETY INFORMATION FOR IBTROZI® (</w:t>
      </w:r>
      <w:proofErr w:type="spellStart"/>
      <w:r w:rsidRPr="001B327C">
        <w:rPr>
          <w:rFonts w:ascii="Aptos Narrow" w:hAnsi="Aptos Narrow" w:cs="Plus Jakarta Sans"/>
          <w:b/>
          <w:bCs/>
          <w:color w:val="C25D6A"/>
          <w:spacing w:val="-10"/>
          <w:sz w:val="20"/>
          <w:szCs w:val="20"/>
        </w:rPr>
        <w:t>taletrectinib</w:t>
      </w:r>
      <w:proofErr w:type="spellEnd"/>
      <w:r w:rsidRPr="001B327C">
        <w:rPr>
          <w:rFonts w:ascii="Aptos Narrow" w:hAnsi="Aptos Narrow" w:cs="Plus Jakarta Sans"/>
          <w:b/>
          <w:bCs/>
          <w:color w:val="C25D6A"/>
          <w:spacing w:val="-10"/>
          <w:sz w:val="20"/>
          <w:szCs w:val="20"/>
        </w:rPr>
        <w:t>)</w:t>
      </w:r>
    </w:p>
    <w:p w14:paraId="15C77362" w14:textId="77777777" w:rsidR="00685C85" w:rsidRPr="00905CC0" w:rsidRDefault="00685C85" w:rsidP="00685C85">
      <w:pPr>
        <w:pStyle w:val="BasicParagraph"/>
        <w:suppressAutoHyphens/>
        <w:spacing w:line="203" w:lineRule="auto"/>
        <w:rPr>
          <w:rFonts w:ascii="Aptos Narrow" w:hAnsi="Aptos Narrow" w:cs="Plus Jakarta Sans ExtraBold"/>
          <w:b/>
          <w:bCs/>
          <w:caps/>
          <w:color w:val="00295A"/>
          <w:sz w:val="20"/>
          <w:szCs w:val="20"/>
        </w:rPr>
      </w:pPr>
      <w:r w:rsidRPr="00905CC0">
        <w:rPr>
          <w:rFonts w:ascii="Aptos Narrow" w:hAnsi="Aptos Narrow" w:cs="Plus Jakarta Sans ExtraBold"/>
          <w:b/>
          <w:bCs/>
          <w:caps/>
          <w:color w:val="00295A"/>
          <w:sz w:val="20"/>
          <w:szCs w:val="20"/>
        </w:rPr>
        <w:t>Warnings and Precautions</w:t>
      </w:r>
    </w:p>
    <w:p w14:paraId="1FA24667" w14:textId="77777777" w:rsidR="00685C85" w:rsidRPr="00905CC0" w:rsidRDefault="00685C85" w:rsidP="00685C85">
      <w:pPr>
        <w:pStyle w:val="BasicParagraph"/>
        <w:suppressAutoHyphens/>
        <w:spacing w:line="203" w:lineRule="auto"/>
        <w:rPr>
          <w:rFonts w:ascii="Amasis MT Pro" w:hAnsi="Amasis MT Pro" w:cs="Plus Jakarta Sans ExtraBold"/>
          <w:i/>
          <w:iCs/>
          <w:color w:val="000063"/>
          <w:spacing w:val="-10"/>
          <w:sz w:val="20"/>
          <w:szCs w:val="20"/>
        </w:rPr>
      </w:pPr>
      <w:r w:rsidRPr="00905CC0">
        <w:rPr>
          <w:rFonts w:ascii="Aptos Narrow" w:hAnsi="Aptos Narrow" w:cs="Plus Jakarta Sans"/>
          <w:b/>
          <w:bCs/>
          <w:color w:val="C25D6A"/>
          <w:spacing w:val="-10"/>
          <w:sz w:val="20"/>
          <w:szCs w:val="20"/>
        </w:rPr>
        <w:t xml:space="preserve">Hepatotoxicity: </w:t>
      </w:r>
      <w:r w:rsidRPr="00905CC0">
        <w:rPr>
          <w:rFonts w:ascii="Aptos Narrow" w:hAnsi="Aptos Narrow" w:cs="Plus Jakarta Sans"/>
          <w:color w:val="000007"/>
          <w:spacing w:val="-10"/>
          <w:sz w:val="20"/>
          <w:szCs w:val="20"/>
        </w:rPr>
        <w:t>Hepatotoxicity, including drug-induced liver injury and fatal adverse reactions, can occur. 88% of patients experienced increased AST, including 10% Grade 3/4. 85% of patients experienced increased ALT, including 13% Grade 3/4. Fatal liver events occurred in 0.6% of patients. Median time to first onset of AST or ALT elevation was 15 days (range: 3 days to 20.8 months).</w:t>
      </w:r>
    </w:p>
    <w:p w14:paraId="2F73A20E"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Increased AST or ALT each led to dose interruption in 7% of patients and dose reduction in 5% and 9% of patients, respectively. Permanent discontinuation was caused by increased AST, ALT, or bilirubin each in 0.3% and by hepatotoxicity in 0.6% of patients.</w:t>
      </w:r>
    </w:p>
    <w:p w14:paraId="021CB540"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Concurrent elevations in AST or ALT ≥3 times the ULN and total bilirubin ≥2 times the ULN, with normal alkaline phosphatase, occurred in 0.6% of patients.</w:t>
      </w:r>
    </w:p>
    <w:p w14:paraId="22621AA3"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Monitor liver function tests (AST, ALT, and bilirubin) prior to treatment, every 2 weeks during the first 2 months, and then monthly thereafter as clinically indicated. Test more frequently if transaminase elevations occur. Advise patients to immediately report symptoms of hepatotoxicity. Based on severity and resolution, withhold, then resume at a reduced dose or permanently discontinue.</w:t>
      </w:r>
    </w:p>
    <w:p w14:paraId="28A4B683"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Interstitial Lung Disease (ILD)/Pneumonitis: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Severe, life-threatening, or fatal ILD or pneumonitis can occur. ILD/pneumonitis occurred in 2.3% of patients, including 1.1% Grade 3/4. One fatal ILD case occurred at the 400 mg daily dose. Median time to first onset of ILD/pneumonitis was 3.8 months (range: 12 days to 11.8 months).</w:t>
      </w:r>
    </w:p>
    <w:p w14:paraId="51FA7B28"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ILD/pneumonitis led to dose interruption in 1.1% of patients, dose reduction in 0.6% of patients, and permanent discontinuation in 0.6% of patients.</w:t>
      </w:r>
    </w:p>
    <w:p w14:paraId="115396E2"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Monitor patients for new or worsening pulmonary symptoms. Advise patients to report symptoms. If ILD/pneumonitis is suspected, immediately withhold; based on severity and resolution, resume at same or reduced dose, or permanently discontinue.</w:t>
      </w:r>
    </w:p>
    <w:p w14:paraId="4ED01E6A"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QTc Interval Prolongation:</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QTc interval prolongation can occur, which can increase the risk for ventricular tachyarrhythmias (e.g., torsades de pointes) or sudden death. IBTROZI prolongs the QTc interval in a concentration-dependent manner.</w:t>
      </w:r>
    </w:p>
    <w:p w14:paraId="212B98D5"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 xml:space="preserve">In patients who received IBTROZI and underwent at least one post baseline ECG, </w:t>
      </w:r>
      <w:proofErr w:type="spellStart"/>
      <w:r w:rsidRPr="00905CC0">
        <w:rPr>
          <w:rFonts w:ascii="Aptos Narrow" w:hAnsi="Aptos Narrow" w:cs="Plus Jakarta Sans"/>
          <w:color w:val="000007"/>
          <w:spacing w:val="-10"/>
          <w:sz w:val="20"/>
          <w:szCs w:val="20"/>
        </w:rPr>
        <w:t>QTcF</w:t>
      </w:r>
      <w:proofErr w:type="spellEnd"/>
      <w:r w:rsidRPr="00905CC0">
        <w:rPr>
          <w:rFonts w:ascii="Aptos Narrow" w:hAnsi="Aptos Narrow" w:cs="Plus Jakarta Sans"/>
          <w:color w:val="000007"/>
          <w:spacing w:val="-10"/>
          <w:sz w:val="20"/>
          <w:szCs w:val="20"/>
        </w:rPr>
        <w:t xml:space="preserve"> increase of &gt;60 msec compared to baseline and </w:t>
      </w:r>
      <w:proofErr w:type="spellStart"/>
      <w:r w:rsidRPr="00905CC0">
        <w:rPr>
          <w:rFonts w:ascii="Aptos Narrow" w:hAnsi="Aptos Narrow" w:cs="Plus Jakarta Sans"/>
          <w:color w:val="000007"/>
          <w:spacing w:val="-10"/>
          <w:sz w:val="20"/>
          <w:szCs w:val="20"/>
        </w:rPr>
        <w:t>QTcF</w:t>
      </w:r>
      <w:proofErr w:type="spellEnd"/>
      <w:r w:rsidRPr="00905CC0">
        <w:rPr>
          <w:rFonts w:ascii="Aptos Narrow" w:hAnsi="Aptos Narrow" w:cs="Plus Jakarta Sans"/>
          <w:color w:val="000007"/>
          <w:spacing w:val="-10"/>
          <w:sz w:val="20"/>
          <w:szCs w:val="20"/>
        </w:rPr>
        <w:t xml:space="preserve"> &gt;500 msec occurred in 13% and 2.6% of patients, respectively. 3.4% of patients experienced Grade ≥3. Median time from first dose of IBTROZI to onset of ECG QT prolongation was 22 days (range: 1 day to 38.7 months). Dose interruption and dose reduction each occurred in 2.8% of patients.</w:t>
      </w:r>
    </w:p>
    <w:p w14:paraId="2092F26E"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 xml:space="preserve">Monitor ECGs and electrolytes prior to start of therapy, and then periodically thereafter as clinically indicated. Adjust frequency based on risk factors such as known long QT syndromes, clinically significant </w:t>
      </w:r>
      <w:proofErr w:type="spellStart"/>
      <w:r w:rsidRPr="00905CC0">
        <w:rPr>
          <w:rFonts w:ascii="Aptos Narrow" w:hAnsi="Aptos Narrow" w:cs="Plus Jakarta Sans"/>
          <w:color w:val="000007"/>
          <w:spacing w:val="-10"/>
          <w:sz w:val="20"/>
          <w:szCs w:val="20"/>
        </w:rPr>
        <w:t>bradyarrhythmias</w:t>
      </w:r>
      <w:proofErr w:type="spellEnd"/>
      <w:r w:rsidRPr="00905CC0">
        <w:rPr>
          <w:rFonts w:ascii="Aptos Narrow" w:hAnsi="Aptos Narrow" w:cs="Plus Jakarta Sans"/>
          <w:color w:val="000007"/>
          <w:spacing w:val="-10"/>
          <w:sz w:val="20"/>
          <w:szCs w:val="20"/>
        </w:rPr>
        <w:t>, severe or uncontrolled heart failure, and concomitant medications.</w:t>
      </w:r>
    </w:p>
    <w:p w14:paraId="406B31A4"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Significant QTc interval prolongation may occur when IBTROZI is taken with food, strong and moderate CYP3A inhibitors, and/or drugs with a known potential to prolong QTc. Administer IBTROZI on an empty stomach. Avoid concomitant use with strong and moderate CYP3A inhibitors and/or drugs with a known potential to prolong QTc.</w:t>
      </w:r>
    </w:p>
    <w:p w14:paraId="6B5C2596"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Advise patients to immediately report any symptoms of QT interval prolongation. Based on severity and resolution, withhold, then resume at same or reduced dose, or permanently discontinue.</w:t>
      </w:r>
    </w:p>
    <w:p w14:paraId="491AD07F"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Hyperuricemia:</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Hyperuricemia can occur and was reported in 14% of patients, with 16% of these requiring urate-lowering medication without pre-existing gout or hyperuricemia. 0.3% of patients experienced Grade ≥3. Median time to first onset was 2.1 months (range: 7 days to 35.8 months). Dose interruption occurred in 0.3% of patients.</w:t>
      </w:r>
    </w:p>
    <w:p w14:paraId="24BD6C48" w14:textId="77777777" w:rsidR="00685C85" w:rsidRPr="00905CC0" w:rsidRDefault="00685C85" w:rsidP="00685C85">
      <w:pPr>
        <w:pStyle w:val="BasicParagraph"/>
        <w:suppressAutoHyphens/>
        <w:spacing w:line="203" w:lineRule="auto"/>
        <w:rPr>
          <w:rFonts w:ascii="Aptos Narrow" w:hAnsi="Aptos Narrow" w:cs="Plus Jakarta Sans"/>
          <w:color w:val="C25D6A"/>
          <w:spacing w:val="-10"/>
          <w:sz w:val="20"/>
          <w:szCs w:val="20"/>
        </w:rPr>
      </w:pPr>
      <w:r w:rsidRPr="00905CC0">
        <w:rPr>
          <w:rFonts w:ascii="Aptos Narrow" w:hAnsi="Aptos Narrow" w:cs="Plus Jakarta Sans"/>
          <w:color w:val="000007"/>
          <w:spacing w:val="-10"/>
          <w:sz w:val="20"/>
          <w:szCs w:val="20"/>
        </w:rPr>
        <w:t xml:space="preserve">Monitor serum uric acid levels prior to initiating and periodically during treatment. Initiate urate-lowering medications as clinically indicated. Advise patients to report symptoms. Based upon severity and resolution, withhold, then resume at same or reduced dose, or </w:t>
      </w:r>
      <w:r w:rsidRPr="00905CC0">
        <w:rPr>
          <w:rFonts w:ascii="Aptos Narrow" w:hAnsi="Aptos Narrow" w:cs="Plus Jakarta Sans"/>
          <w:color w:val="000000" w:themeColor="text1"/>
          <w:spacing w:val="-10"/>
          <w:sz w:val="20"/>
          <w:szCs w:val="20"/>
        </w:rPr>
        <w:t>permanently discontinue.</w:t>
      </w:r>
    </w:p>
    <w:p w14:paraId="11EFDF53"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Myalgia with Creatine Phosphokinase (CPK) Elevation:</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Myalgia with or without CPK elevation can occur. Myalgia occurred in 10% of patients. Median time to first onset was 11 days (range: 2 days to 10 months).</w:t>
      </w:r>
    </w:p>
    <w:p w14:paraId="3A572C79"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 xml:space="preserve">Concurrent myalgia with increased CPK within a 7-day </w:t>
      </w:r>
      <w:proofErr w:type="gramStart"/>
      <w:r w:rsidRPr="00905CC0">
        <w:rPr>
          <w:rFonts w:ascii="Aptos Narrow" w:hAnsi="Aptos Narrow" w:cs="Plus Jakarta Sans"/>
          <w:color w:val="000007"/>
          <w:spacing w:val="-10"/>
          <w:sz w:val="20"/>
          <w:szCs w:val="20"/>
        </w:rPr>
        <w:t>time period</w:t>
      </w:r>
      <w:proofErr w:type="gramEnd"/>
      <w:r w:rsidRPr="00905CC0">
        <w:rPr>
          <w:rFonts w:ascii="Aptos Narrow" w:hAnsi="Aptos Narrow" w:cs="Plus Jakarta Sans"/>
          <w:color w:val="000007"/>
          <w:spacing w:val="-10"/>
          <w:sz w:val="20"/>
          <w:szCs w:val="20"/>
        </w:rPr>
        <w:t xml:space="preserve"> occurred in 0.9% of patients. Dose interruption occurred in 0.3% of patients with myalgia and concurrent CPK elevation.</w:t>
      </w:r>
    </w:p>
    <w:p w14:paraId="3D51F613"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Advise patients to report any unexplained muscle pain, tenderness, or weakness. Monitor serum CPK levels during treatment every 2 weeks during the first month, and then as clinically indicated. Based on severity, withhold, then resume at same or reduced dose upon improvement.</w:t>
      </w:r>
    </w:p>
    <w:p w14:paraId="0C5A01C2"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Skeletal Fractures: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IBTROZI can increase the risk of fractures. ROS1 inhibitors as a class have been associated with skeletal fractures. 3.4% of patients experienced fractures, including 1.4% Grade 3. Some fractures occurred in the setting of a fall or other predisposing factors such as osteoporosis, bone metastasis, and age-related degenerative conditions. Median time to first onset of fracture was 10.7 months (range: 26 days to 29.1 months). Dose interruption occurred in 0.3% of patients.</w:t>
      </w:r>
    </w:p>
    <w:p w14:paraId="7402348F"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Advise patients to immediately report symptoms. Promptly evaluate patients with signs or symptoms (e.g., pain, changes in mobility, deformity) of fractures.</w:t>
      </w:r>
    </w:p>
    <w:p w14:paraId="13A73DED"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There are no data on the effects of IBTROZI on healing of known fractures and risk of future fractures.</w:t>
      </w:r>
    </w:p>
    <w:p w14:paraId="11FF56D6"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Embryo-Fetal Toxicity:</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Based on literature, animal studies, and its mechanism of action, IBTROZI can cause fetal harm when administered to a pregnant woman. Verify the pregnancy status of females of reproductive potential prior to initiating IBTROZI. Advise females to inform their healthcare provider of a known or suspected pregnancy.</w:t>
      </w:r>
    </w:p>
    <w:p w14:paraId="0BB309E4"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Advise pregnant women and females of reproductive potential of the potential risk to a fetus. Advise females of reproductive potential and male patients with female partners of reproductive potential to use effective contraception during treatment and for 3 weeks following the last dose.</w:t>
      </w:r>
    </w:p>
    <w:p w14:paraId="6E8F2181" w14:textId="77777777" w:rsidR="00685C85" w:rsidRPr="00905CC0" w:rsidRDefault="00685C85" w:rsidP="00685C85">
      <w:pPr>
        <w:pStyle w:val="BasicParagraph"/>
        <w:suppressAutoHyphens/>
        <w:spacing w:line="203" w:lineRule="auto"/>
        <w:rPr>
          <w:rFonts w:ascii="Aptos Narrow" w:hAnsi="Aptos Narrow" w:cs="Plus Jakarta Sans ExtraBold"/>
          <w:b/>
          <w:bCs/>
          <w:caps/>
          <w:color w:val="00295A"/>
          <w:spacing w:val="-10"/>
          <w:sz w:val="20"/>
          <w:szCs w:val="20"/>
        </w:rPr>
      </w:pPr>
      <w:r w:rsidRPr="00905CC0">
        <w:rPr>
          <w:rFonts w:ascii="Aptos Narrow" w:hAnsi="Aptos Narrow" w:cs="Plus Jakarta Sans ExtraBold"/>
          <w:b/>
          <w:bCs/>
          <w:caps/>
          <w:color w:val="00295A"/>
          <w:spacing w:val="-10"/>
          <w:sz w:val="20"/>
          <w:szCs w:val="20"/>
        </w:rPr>
        <w:t>ADVERSE REACTIONS</w:t>
      </w:r>
    </w:p>
    <w:p w14:paraId="04053C1E"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Among patients who received IBTROZI, the most frequently reported adverse reactions (≥20%) were diarrhea (64%), nausea (47%), vomiting (43%), dizziness (22%), rash (22%), constipation (21%), and fatigue (20%).</w:t>
      </w:r>
    </w:p>
    <w:p w14:paraId="57DFEDBD"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The most frequently reported Grade 3/4 laboratory abnormalities (≥5%) were increased ALT (13%), increased AST (10%), decreased neutrophils (5%), and increased creatine phosphokinase (5%).</w:t>
      </w:r>
    </w:p>
    <w:p w14:paraId="44B05742" w14:textId="77777777" w:rsidR="00685C85" w:rsidRPr="00905CC0" w:rsidRDefault="00685C85" w:rsidP="00685C85">
      <w:pPr>
        <w:pStyle w:val="BasicParagraph"/>
        <w:suppressAutoHyphens/>
        <w:spacing w:line="203" w:lineRule="auto"/>
        <w:rPr>
          <w:rFonts w:ascii="Aptos Narrow" w:hAnsi="Aptos Narrow" w:cs="Plus Jakarta Sans ExtraBold"/>
          <w:b/>
          <w:bCs/>
          <w:caps/>
          <w:color w:val="00295A"/>
          <w:spacing w:val="-10"/>
          <w:sz w:val="20"/>
          <w:szCs w:val="20"/>
        </w:rPr>
      </w:pPr>
      <w:r w:rsidRPr="00905CC0">
        <w:rPr>
          <w:rFonts w:ascii="Aptos Narrow" w:hAnsi="Aptos Narrow" w:cs="Plus Jakarta Sans ExtraBold"/>
          <w:b/>
          <w:bCs/>
          <w:caps/>
          <w:color w:val="00295A"/>
          <w:spacing w:val="-10"/>
          <w:sz w:val="20"/>
          <w:szCs w:val="20"/>
        </w:rPr>
        <w:t>DRUG INTERACTIONS</w:t>
      </w:r>
    </w:p>
    <w:p w14:paraId="3C105286"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Strong and Moderate CYP3A Inhibitors: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Avoid concomitant use.</w:t>
      </w:r>
    </w:p>
    <w:p w14:paraId="593AA676"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Strong and Moderate CYP3A Inducers: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Avoid concomitant use.</w:t>
      </w:r>
    </w:p>
    <w:p w14:paraId="3A10D728"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Gastric Acid Reducing Agents: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Avoid concomitant use with PPIs and H2 receptor antagonists. If an acid-reducing agent cannot be avoided, administer locally acting antacids at least 2 hours before or 2 hours after taking IBTROZI.</w:t>
      </w:r>
    </w:p>
    <w:p w14:paraId="331AEEA7"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Drugs that Prolong the QTc Interval:</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Avoid concomitant use. If concomitant use cannot be avoided, adjust the frequency of monitoring as recommended. Withhold IBTROZI if the QTc interval is &gt;500 msec or the change from baseline is &gt;60 msec.</w:t>
      </w:r>
    </w:p>
    <w:p w14:paraId="2B423D55" w14:textId="77777777" w:rsidR="00685C85" w:rsidRPr="00905CC0" w:rsidRDefault="00685C85" w:rsidP="00685C85">
      <w:pPr>
        <w:pStyle w:val="BasicParagraph"/>
        <w:suppressAutoHyphens/>
        <w:spacing w:line="203" w:lineRule="auto"/>
        <w:rPr>
          <w:rFonts w:ascii="Aptos Narrow" w:hAnsi="Aptos Narrow" w:cs="Plus Jakarta Sans ExtraBold"/>
          <w:b/>
          <w:bCs/>
          <w:caps/>
          <w:color w:val="00295A"/>
          <w:spacing w:val="-10"/>
          <w:sz w:val="20"/>
          <w:szCs w:val="20"/>
        </w:rPr>
      </w:pPr>
      <w:r w:rsidRPr="00905CC0">
        <w:rPr>
          <w:rFonts w:ascii="Aptos Narrow" w:hAnsi="Aptos Narrow" w:cs="Plus Jakarta Sans ExtraBold"/>
          <w:b/>
          <w:bCs/>
          <w:caps/>
          <w:color w:val="00295A"/>
          <w:spacing w:val="-10"/>
          <w:sz w:val="20"/>
          <w:szCs w:val="20"/>
        </w:rPr>
        <w:t>OTHER CONSIDERATIONS</w:t>
      </w:r>
    </w:p>
    <w:p w14:paraId="2737B65B"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Pregnancy:</w:t>
      </w:r>
      <w:r w:rsidRPr="00905CC0">
        <w:rPr>
          <w:rFonts w:ascii="Aptos Narrow" w:hAnsi="Aptos Narrow" w:cs="Plus Jakarta Sans"/>
          <w:color w:val="000007"/>
          <w:spacing w:val="-10"/>
          <w:sz w:val="20"/>
          <w:szCs w:val="20"/>
        </w:rPr>
        <w:t xml:space="preserve"> Please see important information in Warnings and Precautions under Embryo-Fetal Toxicity.</w:t>
      </w:r>
    </w:p>
    <w:p w14:paraId="1F5B77AF"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Lactation:</w:t>
      </w:r>
      <w:r w:rsidRPr="00905CC0">
        <w:rPr>
          <w:rFonts w:ascii="Aptos Narrow" w:hAnsi="Aptos Narrow" w:cs="Plus Jakarta Sans"/>
          <w:color w:val="000007"/>
          <w:spacing w:val="-10"/>
          <w:sz w:val="20"/>
          <w:szCs w:val="20"/>
        </w:rPr>
        <w:t xml:space="preserve"> Advise women not to breastfeed during treatment and for 3 weeks after the last dose. </w:t>
      </w:r>
    </w:p>
    <w:p w14:paraId="130B3803"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Effect on Fertility:</w:t>
      </w:r>
      <w:r w:rsidRPr="00905CC0">
        <w:rPr>
          <w:rFonts w:ascii="Aptos Narrow" w:hAnsi="Aptos Narrow" w:cs="Plus Jakarta Sans"/>
          <w:color w:val="C13A7F"/>
          <w:spacing w:val="-10"/>
          <w:sz w:val="20"/>
          <w:szCs w:val="20"/>
        </w:rPr>
        <w:t xml:space="preserve"> </w:t>
      </w:r>
      <w:r w:rsidRPr="00905CC0">
        <w:rPr>
          <w:rFonts w:ascii="Aptos Narrow" w:hAnsi="Aptos Narrow" w:cs="Plus Jakarta Sans"/>
          <w:color w:val="000007"/>
          <w:spacing w:val="-10"/>
          <w:sz w:val="20"/>
          <w:szCs w:val="20"/>
        </w:rPr>
        <w:t>Based on findings in animals, IBTROZI may impair fertility in males and females. The effects on animal fertility were reversible.</w:t>
      </w:r>
    </w:p>
    <w:p w14:paraId="307090D9" w14:textId="77777777" w:rsidR="00685C85" w:rsidRPr="00905CC0" w:rsidRDefault="00685C85" w:rsidP="00685C85">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Pediatric Use:</w:t>
      </w:r>
      <w:r w:rsidRPr="00905CC0">
        <w:rPr>
          <w:rFonts w:ascii="Aptos Narrow" w:hAnsi="Aptos Narrow" w:cs="Plus Jakarta Sans"/>
          <w:color w:val="000007"/>
          <w:spacing w:val="-10"/>
          <w:sz w:val="20"/>
          <w:szCs w:val="20"/>
        </w:rPr>
        <w:t xml:space="preserve"> The safety and effectiveness of IBTROZI in pediatric patients has not been established.</w:t>
      </w:r>
    </w:p>
    <w:p w14:paraId="6971B2CA" w14:textId="77777777" w:rsidR="00685C85" w:rsidRPr="00905CC0" w:rsidRDefault="00685C85" w:rsidP="00685C85">
      <w:pPr>
        <w:pStyle w:val="BasicParagraph"/>
        <w:suppressAutoHyphens/>
        <w:spacing w:line="203" w:lineRule="auto"/>
        <w:rPr>
          <w:rFonts w:ascii="Aptos Narrow" w:hAnsi="Aptos Narrow" w:cs="Plus Jakarta Sans"/>
          <w:b/>
          <w:bCs/>
          <w:color w:val="000007"/>
          <w:spacing w:val="-10"/>
          <w:sz w:val="20"/>
          <w:szCs w:val="20"/>
        </w:rPr>
      </w:pPr>
      <w:r w:rsidRPr="00905CC0">
        <w:rPr>
          <w:rFonts w:ascii="Aptos Narrow" w:hAnsi="Aptos Narrow" w:cs="Plus Jakarta Sans"/>
          <w:b/>
          <w:bCs/>
          <w:color w:val="C25D6A"/>
          <w:spacing w:val="-10"/>
          <w:sz w:val="20"/>
          <w:szCs w:val="20"/>
        </w:rPr>
        <w:t>Photosensitivity:</w:t>
      </w:r>
      <w:r w:rsidRPr="00905CC0">
        <w:rPr>
          <w:rFonts w:ascii="Aptos Narrow" w:hAnsi="Aptos Narrow" w:cs="Plus Jakarta Sans"/>
          <w:color w:val="000007"/>
          <w:spacing w:val="-10"/>
          <w:sz w:val="20"/>
          <w:szCs w:val="20"/>
        </w:rPr>
        <w:t xml:space="preserve"> IBTROZI can cause photosensitivity. Advise patients to minimize sun exposure and to use sun protection, including broad-spectrum sunscreen, during treatment and for at least 5 days after discontinuation.</w:t>
      </w:r>
    </w:p>
    <w:p w14:paraId="49E4E70B" w14:textId="77777777" w:rsidR="00685C85" w:rsidRPr="008B0165" w:rsidRDefault="00685C85" w:rsidP="00685C85">
      <w:pPr>
        <w:pStyle w:val="paragraph"/>
        <w:spacing w:before="0" w:beforeAutospacing="0" w:after="0" w:afterAutospacing="0" w:line="203" w:lineRule="auto"/>
        <w:textAlignment w:val="baseline"/>
        <w:rPr>
          <w:rFonts w:ascii="Aptos Narrow" w:hAnsi="Aptos Narrow" w:cs="Segoe UI"/>
          <w:spacing w:val="-10"/>
          <w:sz w:val="20"/>
          <w:szCs w:val="20"/>
        </w:rPr>
      </w:pPr>
      <w:r w:rsidRPr="00905CC0">
        <w:rPr>
          <w:rStyle w:val="normaltextrun"/>
          <w:rFonts w:ascii="Aptos Narrow" w:hAnsi="Aptos Narrow" w:cs="Calibri"/>
          <w:b/>
          <w:bCs/>
          <w:spacing w:val="-10"/>
          <w:sz w:val="20"/>
          <w:szCs w:val="20"/>
        </w:rPr>
        <w:t>Please see full </w:t>
      </w:r>
      <w:hyperlink r:id="rId10" w:history="1">
        <w:r w:rsidRPr="00905CC0">
          <w:rPr>
            <w:rStyle w:val="Hyperlink"/>
            <w:rFonts w:ascii="Aptos Narrow" w:hAnsi="Aptos Narrow" w:cs="Calibri"/>
            <w:b/>
            <w:bCs/>
            <w:color w:val="000000" w:themeColor="text1"/>
            <w:spacing w:val="-10"/>
            <w:sz w:val="20"/>
            <w:szCs w:val="20"/>
          </w:rPr>
          <w:t>Prescribing Information</w:t>
        </w:r>
      </w:hyperlink>
      <w:r w:rsidRPr="00905CC0">
        <w:rPr>
          <w:rStyle w:val="normaltextrun"/>
          <w:rFonts w:ascii="Aptos Narrow" w:hAnsi="Aptos Narrow" w:cs="Calibri"/>
          <w:b/>
          <w:bCs/>
          <w:spacing w:val="-10"/>
          <w:sz w:val="20"/>
          <w:szCs w:val="20"/>
        </w:rPr>
        <w:t>.</w:t>
      </w:r>
    </w:p>
    <w:p w14:paraId="360B3915" w14:textId="1A448B44" w:rsidR="00DF7B8C" w:rsidRPr="00DF7B8C" w:rsidRDefault="00DF7B8C" w:rsidP="00347B62">
      <w:pPr>
        <w:pStyle w:val="Header"/>
        <w:rPr>
          <w:rFonts w:ascii="Aptos Narrow" w:hAnsi="Aptos Narrow"/>
          <w:b/>
          <w:bCs/>
          <w:sz w:val="18"/>
          <w:szCs w:val="18"/>
        </w:rPr>
      </w:pPr>
    </w:p>
    <w:sectPr w:rsidR="00DF7B8C" w:rsidRPr="00DF7B8C" w:rsidSect="004653B7">
      <w:type w:val="continuous"/>
      <w:pgSz w:w="12240" w:h="15840"/>
      <w:pgMar w:top="360" w:right="360" w:bottom="806"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F6348" w14:textId="77777777" w:rsidR="009737C0" w:rsidRDefault="009737C0" w:rsidP="00171E00">
      <w:pPr>
        <w:spacing w:after="0" w:line="240" w:lineRule="auto"/>
      </w:pPr>
      <w:r>
        <w:separator/>
      </w:r>
    </w:p>
  </w:endnote>
  <w:endnote w:type="continuationSeparator" w:id="0">
    <w:p w14:paraId="7D870075" w14:textId="77777777" w:rsidR="009737C0" w:rsidRDefault="009737C0" w:rsidP="00171E00">
      <w:pPr>
        <w:spacing w:after="0" w:line="240" w:lineRule="auto"/>
      </w:pPr>
      <w:r>
        <w:continuationSeparator/>
      </w:r>
    </w:p>
  </w:endnote>
  <w:endnote w:type="continuationNotice" w:id="1">
    <w:p w14:paraId="3596EEB6" w14:textId="77777777" w:rsidR="009737C0" w:rsidRDefault="009737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inionPro-Regular">
    <w:altName w:val="Calibri"/>
    <w:panose1 w:val="020B0604020202020204"/>
    <w:charset w:val="4D"/>
    <w:family w:val="auto"/>
    <w:pitch w:val="default"/>
    <w:sig w:usb0="00000003" w:usb1="00000000" w:usb2="00000000" w:usb3="00000000" w:csb0="00000001" w:csb1="00000000"/>
  </w:font>
  <w:font w:name="Plus Jakarta Sans ExtraBold">
    <w:altName w:val="Calibri"/>
    <w:panose1 w:val="020B0604020202020204"/>
    <w:charset w:val="4D"/>
    <w:family w:val="auto"/>
    <w:pitch w:val="variable"/>
    <w:sig w:usb0="A10000FF" w:usb1="4000607B" w:usb2="00000000" w:usb3="00000000" w:csb0="00000193" w:csb1="00000000"/>
  </w:font>
  <w:font w:name="Plus Jakarta Sans">
    <w:panose1 w:val="020B0604020202020204"/>
    <w:charset w:val="4D"/>
    <w:family w:val="auto"/>
    <w:pitch w:val="variable"/>
    <w:sig w:usb0="A10000FF" w:usb1="4000607B" w:usb2="00000000" w:usb3="00000000" w:csb0="00000193" w:csb1="00000000"/>
  </w:font>
  <w:font w:name="Amasis MT Pro">
    <w:panose1 w:val="02040504050005020304"/>
    <w:charset w:val="4D"/>
    <w:family w:val="roman"/>
    <w:pitch w:val="variable"/>
    <w:sig w:usb0="A00000A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EB8320" w14:textId="77777777" w:rsidR="009737C0" w:rsidRDefault="009737C0" w:rsidP="00171E00">
      <w:pPr>
        <w:spacing w:after="0" w:line="240" w:lineRule="auto"/>
      </w:pPr>
      <w:r>
        <w:separator/>
      </w:r>
    </w:p>
  </w:footnote>
  <w:footnote w:type="continuationSeparator" w:id="0">
    <w:p w14:paraId="4A095F13" w14:textId="77777777" w:rsidR="009737C0" w:rsidRDefault="009737C0" w:rsidP="00171E00">
      <w:pPr>
        <w:spacing w:after="0" w:line="240" w:lineRule="auto"/>
      </w:pPr>
      <w:r>
        <w:continuationSeparator/>
      </w:r>
    </w:p>
  </w:footnote>
  <w:footnote w:type="continuationNotice" w:id="1">
    <w:p w14:paraId="3345DA7F" w14:textId="77777777" w:rsidR="009737C0" w:rsidRDefault="009737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9718D"/>
    <w:multiLevelType w:val="multilevel"/>
    <w:tmpl w:val="DB30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647460"/>
    <w:multiLevelType w:val="multilevel"/>
    <w:tmpl w:val="9082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2E3064"/>
    <w:multiLevelType w:val="multilevel"/>
    <w:tmpl w:val="64E8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DD1A37"/>
    <w:multiLevelType w:val="hybridMultilevel"/>
    <w:tmpl w:val="EC7CF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D538F"/>
    <w:multiLevelType w:val="hybridMultilevel"/>
    <w:tmpl w:val="C85AD6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9A204D"/>
    <w:multiLevelType w:val="hybridMultilevel"/>
    <w:tmpl w:val="CBFE855A"/>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6" w15:restartNumberingAfterBreak="0">
    <w:nsid w:val="15B27316"/>
    <w:multiLevelType w:val="hybridMultilevel"/>
    <w:tmpl w:val="BB4A8EBA"/>
    <w:lvl w:ilvl="0" w:tplc="04090001">
      <w:start w:val="1"/>
      <w:numFmt w:val="bullet"/>
      <w:lvlText w:val=""/>
      <w:lvlJc w:val="left"/>
      <w:pPr>
        <w:ind w:left="855" w:hanging="360"/>
      </w:pPr>
      <w:rPr>
        <w:rFonts w:ascii="Symbol" w:hAnsi="Symbol" w:hint="default"/>
      </w:rPr>
    </w:lvl>
    <w:lvl w:ilvl="1" w:tplc="04090003">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7" w15:restartNumberingAfterBreak="0">
    <w:nsid w:val="29571A85"/>
    <w:multiLevelType w:val="multilevel"/>
    <w:tmpl w:val="3B8A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5D7F31"/>
    <w:multiLevelType w:val="hybridMultilevel"/>
    <w:tmpl w:val="91F618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941C56"/>
    <w:multiLevelType w:val="hybridMultilevel"/>
    <w:tmpl w:val="B2E0A7BA"/>
    <w:lvl w:ilvl="0" w:tplc="2C40DD80">
      <w:start w:val="1"/>
      <w:numFmt w:val="bullet"/>
      <w:lvlText w:val="•"/>
      <w:lvlJc w:val="left"/>
      <w:pPr>
        <w:ind w:left="720" w:hanging="360"/>
      </w:pPr>
      <w:rPr>
        <w:rFonts w:ascii="Aptos Narrow" w:hAnsi="Aptos Narrow" w:hint="default"/>
        <w:color w:val="BBD64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19951B6"/>
    <w:multiLevelType w:val="hybridMultilevel"/>
    <w:tmpl w:val="FBE8B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9947B7A"/>
    <w:multiLevelType w:val="multilevel"/>
    <w:tmpl w:val="BB04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897AD5"/>
    <w:multiLevelType w:val="hybridMultilevel"/>
    <w:tmpl w:val="311E9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943E66"/>
    <w:multiLevelType w:val="multilevel"/>
    <w:tmpl w:val="1BA8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171756"/>
    <w:multiLevelType w:val="hybridMultilevel"/>
    <w:tmpl w:val="FCAE535E"/>
    <w:lvl w:ilvl="0" w:tplc="DF1A9B92">
      <w:start w:val="1"/>
      <w:numFmt w:val="bullet"/>
      <w:lvlText w:val="•"/>
      <w:lvlJc w:val="left"/>
      <w:pPr>
        <w:ind w:left="720" w:hanging="360"/>
      </w:pPr>
      <w:rPr>
        <w:rFonts w:ascii="Aptos Narrow" w:hAnsi="Aptos Narrow" w:hint="default"/>
        <w:color w:val="C25D6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1763095"/>
    <w:multiLevelType w:val="multilevel"/>
    <w:tmpl w:val="FB70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8A004C"/>
    <w:multiLevelType w:val="hybridMultilevel"/>
    <w:tmpl w:val="19702E32"/>
    <w:lvl w:ilvl="0" w:tplc="04090001">
      <w:start w:val="1"/>
      <w:numFmt w:val="bullet"/>
      <w:lvlText w:val=""/>
      <w:lvlJc w:val="left"/>
      <w:pPr>
        <w:ind w:left="812" w:hanging="360"/>
      </w:pPr>
      <w:rPr>
        <w:rFonts w:ascii="Symbol" w:hAnsi="Symbol"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17" w15:restartNumberingAfterBreak="0">
    <w:nsid w:val="65734839"/>
    <w:multiLevelType w:val="multilevel"/>
    <w:tmpl w:val="C78A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AF4D35"/>
    <w:multiLevelType w:val="hybridMultilevel"/>
    <w:tmpl w:val="AD820ABC"/>
    <w:lvl w:ilvl="0" w:tplc="1F7ADBFC">
      <w:start w:val="1"/>
      <w:numFmt w:val="bullet"/>
      <w:lvlText w:val=""/>
      <w:lvlJc w:val="left"/>
      <w:pPr>
        <w:ind w:left="720" w:hanging="360"/>
      </w:pPr>
      <w:rPr>
        <w:rFonts w:ascii="Symbol" w:hAnsi="Symbol" w:hint="default"/>
        <w:color w:val="000000" w:themeColor="text1"/>
      </w:rPr>
    </w:lvl>
    <w:lvl w:ilvl="1" w:tplc="298C37F4">
      <w:start w:val="1"/>
      <w:numFmt w:val="bullet"/>
      <w:lvlText w:val="o"/>
      <w:lvlJc w:val="left"/>
      <w:pPr>
        <w:ind w:left="1440" w:hanging="360"/>
      </w:pPr>
      <w:rPr>
        <w:rFonts w:ascii="Courier New" w:hAnsi="Courier New" w:cs="Courier New" w:hint="default"/>
        <w:color w:val="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2E40AC"/>
    <w:multiLevelType w:val="hybridMultilevel"/>
    <w:tmpl w:val="A096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540DF8"/>
    <w:multiLevelType w:val="hybridMultilevel"/>
    <w:tmpl w:val="501A4C1A"/>
    <w:lvl w:ilvl="0" w:tplc="1326D50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976870">
    <w:abstractNumId w:val="18"/>
  </w:num>
  <w:num w:numId="2" w16cid:durableId="279727124">
    <w:abstractNumId w:val="12"/>
  </w:num>
  <w:num w:numId="3" w16cid:durableId="1232689207">
    <w:abstractNumId w:val="20"/>
  </w:num>
  <w:num w:numId="4" w16cid:durableId="1814592753">
    <w:abstractNumId w:val="19"/>
  </w:num>
  <w:num w:numId="5" w16cid:durableId="796874568">
    <w:abstractNumId w:val="8"/>
  </w:num>
  <w:num w:numId="6" w16cid:durableId="958536852">
    <w:abstractNumId w:val="5"/>
  </w:num>
  <w:num w:numId="7" w16cid:durableId="952053913">
    <w:abstractNumId w:val="6"/>
  </w:num>
  <w:num w:numId="8" w16cid:durableId="1588269705">
    <w:abstractNumId w:val="0"/>
  </w:num>
  <w:num w:numId="9" w16cid:durableId="1358234233">
    <w:abstractNumId w:val="13"/>
  </w:num>
  <w:num w:numId="10" w16cid:durableId="2140296640">
    <w:abstractNumId w:val="1"/>
  </w:num>
  <w:num w:numId="11" w16cid:durableId="1008409036">
    <w:abstractNumId w:val="15"/>
  </w:num>
  <w:num w:numId="12" w16cid:durableId="1766803778">
    <w:abstractNumId w:val="17"/>
  </w:num>
  <w:num w:numId="13" w16cid:durableId="376320505">
    <w:abstractNumId w:val="7"/>
  </w:num>
  <w:num w:numId="14" w16cid:durableId="439690819">
    <w:abstractNumId w:val="11"/>
  </w:num>
  <w:num w:numId="15" w16cid:durableId="119152470">
    <w:abstractNumId w:val="2"/>
  </w:num>
  <w:num w:numId="16" w16cid:durableId="1594513592">
    <w:abstractNumId w:val="10"/>
  </w:num>
  <w:num w:numId="17" w16cid:durableId="491607826">
    <w:abstractNumId w:val="4"/>
  </w:num>
  <w:num w:numId="18" w16cid:durableId="782504310">
    <w:abstractNumId w:val="3"/>
  </w:num>
  <w:num w:numId="19" w16cid:durableId="1240597370">
    <w:abstractNumId w:val="16"/>
  </w:num>
  <w:num w:numId="20" w16cid:durableId="1144082832">
    <w:abstractNumId w:val="9"/>
  </w:num>
  <w:num w:numId="21" w16cid:durableId="2110546423">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FE"/>
    <w:rsid w:val="000051FB"/>
    <w:rsid w:val="0001092B"/>
    <w:rsid w:val="00010BE2"/>
    <w:rsid w:val="000111CB"/>
    <w:rsid w:val="000133D1"/>
    <w:rsid w:val="00014F94"/>
    <w:rsid w:val="0001669E"/>
    <w:rsid w:val="0002444E"/>
    <w:rsid w:val="0002765A"/>
    <w:rsid w:val="00027738"/>
    <w:rsid w:val="00037653"/>
    <w:rsid w:val="00053BAD"/>
    <w:rsid w:val="00056078"/>
    <w:rsid w:val="00062824"/>
    <w:rsid w:val="00077BC8"/>
    <w:rsid w:val="00082D2A"/>
    <w:rsid w:val="00083A81"/>
    <w:rsid w:val="000863CE"/>
    <w:rsid w:val="000872C2"/>
    <w:rsid w:val="00091B0C"/>
    <w:rsid w:val="00097B68"/>
    <w:rsid w:val="000A293B"/>
    <w:rsid w:val="000A6AD5"/>
    <w:rsid w:val="000B5585"/>
    <w:rsid w:val="000B6957"/>
    <w:rsid w:val="000C24C9"/>
    <w:rsid w:val="000D08F4"/>
    <w:rsid w:val="000E1BA6"/>
    <w:rsid w:val="000E4383"/>
    <w:rsid w:val="000E6BA7"/>
    <w:rsid w:val="000E703A"/>
    <w:rsid w:val="000F1641"/>
    <w:rsid w:val="00100A10"/>
    <w:rsid w:val="00101406"/>
    <w:rsid w:val="00110529"/>
    <w:rsid w:val="001106AA"/>
    <w:rsid w:val="001106F8"/>
    <w:rsid w:val="00112218"/>
    <w:rsid w:val="00120684"/>
    <w:rsid w:val="00121594"/>
    <w:rsid w:val="00122B18"/>
    <w:rsid w:val="00123ED9"/>
    <w:rsid w:val="00125DB2"/>
    <w:rsid w:val="00135CEB"/>
    <w:rsid w:val="00142597"/>
    <w:rsid w:val="00142D87"/>
    <w:rsid w:val="00147468"/>
    <w:rsid w:val="00154A45"/>
    <w:rsid w:val="00157C3F"/>
    <w:rsid w:val="001613AB"/>
    <w:rsid w:val="00161FF4"/>
    <w:rsid w:val="00162869"/>
    <w:rsid w:val="00162E05"/>
    <w:rsid w:val="0016399C"/>
    <w:rsid w:val="001654B1"/>
    <w:rsid w:val="001668C8"/>
    <w:rsid w:val="00171024"/>
    <w:rsid w:val="00171E00"/>
    <w:rsid w:val="00172B8E"/>
    <w:rsid w:val="00187054"/>
    <w:rsid w:val="0019128F"/>
    <w:rsid w:val="00192F64"/>
    <w:rsid w:val="001933D8"/>
    <w:rsid w:val="001945E1"/>
    <w:rsid w:val="00196DBD"/>
    <w:rsid w:val="001A1AE2"/>
    <w:rsid w:val="001A2811"/>
    <w:rsid w:val="001A2E4E"/>
    <w:rsid w:val="001A481C"/>
    <w:rsid w:val="001A711E"/>
    <w:rsid w:val="001B2649"/>
    <w:rsid w:val="001B2A09"/>
    <w:rsid w:val="001B2A4D"/>
    <w:rsid w:val="001B4183"/>
    <w:rsid w:val="0020581E"/>
    <w:rsid w:val="0021065B"/>
    <w:rsid w:val="002159BC"/>
    <w:rsid w:val="00220270"/>
    <w:rsid w:val="00220B38"/>
    <w:rsid w:val="00225F8F"/>
    <w:rsid w:val="002302AA"/>
    <w:rsid w:val="002334B9"/>
    <w:rsid w:val="00233AD6"/>
    <w:rsid w:val="002376CD"/>
    <w:rsid w:val="00237783"/>
    <w:rsid w:val="0024038E"/>
    <w:rsid w:val="00246F5A"/>
    <w:rsid w:val="0025087E"/>
    <w:rsid w:val="002649B8"/>
    <w:rsid w:val="00272EDC"/>
    <w:rsid w:val="002734AB"/>
    <w:rsid w:val="00274C5B"/>
    <w:rsid w:val="00275C4F"/>
    <w:rsid w:val="00290341"/>
    <w:rsid w:val="00293219"/>
    <w:rsid w:val="0029578D"/>
    <w:rsid w:val="002A39DE"/>
    <w:rsid w:val="002A7401"/>
    <w:rsid w:val="002B425E"/>
    <w:rsid w:val="002C4048"/>
    <w:rsid w:val="002D5076"/>
    <w:rsid w:val="002D53CD"/>
    <w:rsid w:val="002E4615"/>
    <w:rsid w:val="002E5DE1"/>
    <w:rsid w:val="002E646E"/>
    <w:rsid w:val="002F2736"/>
    <w:rsid w:val="002F36FC"/>
    <w:rsid w:val="00313886"/>
    <w:rsid w:val="00316648"/>
    <w:rsid w:val="00335D69"/>
    <w:rsid w:val="00336152"/>
    <w:rsid w:val="00347B62"/>
    <w:rsid w:val="0036110D"/>
    <w:rsid w:val="00365C8C"/>
    <w:rsid w:val="003665F4"/>
    <w:rsid w:val="0036716C"/>
    <w:rsid w:val="00370430"/>
    <w:rsid w:val="00371D3C"/>
    <w:rsid w:val="00373842"/>
    <w:rsid w:val="00381C1A"/>
    <w:rsid w:val="003843ED"/>
    <w:rsid w:val="00385EB6"/>
    <w:rsid w:val="00386150"/>
    <w:rsid w:val="003907F3"/>
    <w:rsid w:val="0039683F"/>
    <w:rsid w:val="003A1FC3"/>
    <w:rsid w:val="003A2779"/>
    <w:rsid w:val="003A3489"/>
    <w:rsid w:val="003A580E"/>
    <w:rsid w:val="003A6D4B"/>
    <w:rsid w:val="003B03C6"/>
    <w:rsid w:val="003C0C77"/>
    <w:rsid w:val="003C6A5A"/>
    <w:rsid w:val="003D2FCD"/>
    <w:rsid w:val="003D37D9"/>
    <w:rsid w:val="003E2908"/>
    <w:rsid w:val="003F0702"/>
    <w:rsid w:val="003F38DB"/>
    <w:rsid w:val="003F4D69"/>
    <w:rsid w:val="003F6E1C"/>
    <w:rsid w:val="003F7CA8"/>
    <w:rsid w:val="00403BF2"/>
    <w:rsid w:val="00405B33"/>
    <w:rsid w:val="00414A6D"/>
    <w:rsid w:val="004155B8"/>
    <w:rsid w:val="00420657"/>
    <w:rsid w:val="004253EE"/>
    <w:rsid w:val="00430B3D"/>
    <w:rsid w:val="00433E17"/>
    <w:rsid w:val="00435745"/>
    <w:rsid w:val="0044173E"/>
    <w:rsid w:val="0044287A"/>
    <w:rsid w:val="00442F2B"/>
    <w:rsid w:val="004432C5"/>
    <w:rsid w:val="004546B1"/>
    <w:rsid w:val="00454BDC"/>
    <w:rsid w:val="00457552"/>
    <w:rsid w:val="0045774C"/>
    <w:rsid w:val="004616BD"/>
    <w:rsid w:val="004625E9"/>
    <w:rsid w:val="004653B7"/>
    <w:rsid w:val="004662E6"/>
    <w:rsid w:val="004730EF"/>
    <w:rsid w:val="0047330A"/>
    <w:rsid w:val="00474189"/>
    <w:rsid w:val="00474881"/>
    <w:rsid w:val="004801B9"/>
    <w:rsid w:val="004848C2"/>
    <w:rsid w:val="00487824"/>
    <w:rsid w:val="0049196C"/>
    <w:rsid w:val="00491BD5"/>
    <w:rsid w:val="0049692B"/>
    <w:rsid w:val="004A38DB"/>
    <w:rsid w:val="004A4922"/>
    <w:rsid w:val="004A590E"/>
    <w:rsid w:val="004A6A29"/>
    <w:rsid w:val="004B2142"/>
    <w:rsid w:val="004B6F2C"/>
    <w:rsid w:val="004C0FE2"/>
    <w:rsid w:val="004C1D47"/>
    <w:rsid w:val="004C6091"/>
    <w:rsid w:val="004C6205"/>
    <w:rsid w:val="004C74BB"/>
    <w:rsid w:val="004D6BAB"/>
    <w:rsid w:val="004F5922"/>
    <w:rsid w:val="004F6834"/>
    <w:rsid w:val="004F68E2"/>
    <w:rsid w:val="004F6E11"/>
    <w:rsid w:val="00504021"/>
    <w:rsid w:val="00507BB2"/>
    <w:rsid w:val="005150CA"/>
    <w:rsid w:val="00516B19"/>
    <w:rsid w:val="00523EAD"/>
    <w:rsid w:val="005255DA"/>
    <w:rsid w:val="00534097"/>
    <w:rsid w:val="0053425E"/>
    <w:rsid w:val="00544414"/>
    <w:rsid w:val="005444C4"/>
    <w:rsid w:val="00544D87"/>
    <w:rsid w:val="005521E0"/>
    <w:rsid w:val="00554FE7"/>
    <w:rsid w:val="005567A4"/>
    <w:rsid w:val="00556DC5"/>
    <w:rsid w:val="0056005F"/>
    <w:rsid w:val="00561101"/>
    <w:rsid w:val="00562502"/>
    <w:rsid w:val="005628CD"/>
    <w:rsid w:val="0056315F"/>
    <w:rsid w:val="00563904"/>
    <w:rsid w:val="00575B2F"/>
    <w:rsid w:val="005803EC"/>
    <w:rsid w:val="0058581C"/>
    <w:rsid w:val="00587A17"/>
    <w:rsid w:val="00595E52"/>
    <w:rsid w:val="005962E8"/>
    <w:rsid w:val="00596593"/>
    <w:rsid w:val="0059694B"/>
    <w:rsid w:val="005A1A06"/>
    <w:rsid w:val="005A53FE"/>
    <w:rsid w:val="005B14B2"/>
    <w:rsid w:val="005B5FBA"/>
    <w:rsid w:val="005C3B4E"/>
    <w:rsid w:val="005D0E7C"/>
    <w:rsid w:val="005D1F5C"/>
    <w:rsid w:val="005D2400"/>
    <w:rsid w:val="005D3FAA"/>
    <w:rsid w:val="005D533D"/>
    <w:rsid w:val="005E1042"/>
    <w:rsid w:val="005E4F27"/>
    <w:rsid w:val="005E663C"/>
    <w:rsid w:val="005F0A7B"/>
    <w:rsid w:val="005F4196"/>
    <w:rsid w:val="005F6F03"/>
    <w:rsid w:val="00605344"/>
    <w:rsid w:val="00625D49"/>
    <w:rsid w:val="006308E4"/>
    <w:rsid w:val="006375D2"/>
    <w:rsid w:val="0064751E"/>
    <w:rsid w:val="0065441E"/>
    <w:rsid w:val="00656D19"/>
    <w:rsid w:val="00660BEF"/>
    <w:rsid w:val="0066585D"/>
    <w:rsid w:val="0066603B"/>
    <w:rsid w:val="006671EE"/>
    <w:rsid w:val="00671A82"/>
    <w:rsid w:val="00676272"/>
    <w:rsid w:val="00677BC5"/>
    <w:rsid w:val="00681A36"/>
    <w:rsid w:val="00683E6B"/>
    <w:rsid w:val="00685285"/>
    <w:rsid w:val="00685C85"/>
    <w:rsid w:val="0068600A"/>
    <w:rsid w:val="00686647"/>
    <w:rsid w:val="006917E3"/>
    <w:rsid w:val="006917E5"/>
    <w:rsid w:val="00691B36"/>
    <w:rsid w:val="00692171"/>
    <w:rsid w:val="00695C30"/>
    <w:rsid w:val="0069703A"/>
    <w:rsid w:val="006A049A"/>
    <w:rsid w:val="006A2391"/>
    <w:rsid w:val="006A3029"/>
    <w:rsid w:val="006A380C"/>
    <w:rsid w:val="006A3D8C"/>
    <w:rsid w:val="006A4D47"/>
    <w:rsid w:val="006A77DD"/>
    <w:rsid w:val="006C0DB2"/>
    <w:rsid w:val="006C2980"/>
    <w:rsid w:val="006C3602"/>
    <w:rsid w:val="006D09DD"/>
    <w:rsid w:val="006D3D04"/>
    <w:rsid w:val="006D5871"/>
    <w:rsid w:val="006D7B94"/>
    <w:rsid w:val="006E1C7B"/>
    <w:rsid w:val="006E55A3"/>
    <w:rsid w:val="006E7BDF"/>
    <w:rsid w:val="006F4062"/>
    <w:rsid w:val="006F724B"/>
    <w:rsid w:val="00700740"/>
    <w:rsid w:val="00703942"/>
    <w:rsid w:val="00703DFB"/>
    <w:rsid w:val="00707192"/>
    <w:rsid w:val="00711513"/>
    <w:rsid w:val="00715C14"/>
    <w:rsid w:val="00725636"/>
    <w:rsid w:val="00736EC6"/>
    <w:rsid w:val="007370BB"/>
    <w:rsid w:val="007410AB"/>
    <w:rsid w:val="00744EA1"/>
    <w:rsid w:val="00761E4D"/>
    <w:rsid w:val="0076530F"/>
    <w:rsid w:val="0076636A"/>
    <w:rsid w:val="007849AF"/>
    <w:rsid w:val="00786311"/>
    <w:rsid w:val="007871F4"/>
    <w:rsid w:val="00793C52"/>
    <w:rsid w:val="007C2108"/>
    <w:rsid w:val="007C32FE"/>
    <w:rsid w:val="007C6055"/>
    <w:rsid w:val="007D07F7"/>
    <w:rsid w:val="007D1E76"/>
    <w:rsid w:val="007D50EB"/>
    <w:rsid w:val="007D7AD0"/>
    <w:rsid w:val="007E5667"/>
    <w:rsid w:val="007F65E7"/>
    <w:rsid w:val="007F7421"/>
    <w:rsid w:val="007F7E31"/>
    <w:rsid w:val="00806477"/>
    <w:rsid w:val="008140A1"/>
    <w:rsid w:val="00816363"/>
    <w:rsid w:val="0082048B"/>
    <w:rsid w:val="00823B51"/>
    <w:rsid w:val="00827B04"/>
    <w:rsid w:val="00827B4A"/>
    <w:rsid w:val="008303A3"/>
    <w:rsid w:val="00830471"/>
    <w:rsid w:val="0083309E"/>
    <w:rsid w:val="00833F52"/>
    <w:rsid w:val="00835974"/>
    <w:rsid w:val="00836A37"/>
    <w:rsid w:val="008373B6"/>
    <w:rsid w:val="00844FC2"/>
    <w:rsid w:val="00850013"/>
    <w:rsid w:val="008505E9"/>
    <w:rsid w:val="008559E4"/>
    <w:rsid w:val="0086693A"/>
    <w:rsid w:val="008831D4"/>
    <w:rsid w:val="00885093"/>
    <w:rsid w:val="0089604D"/>
    <w:rsid w:val="008A17EB"/>
    <w:rsid w:val="008A3B9B"/>
    <w:rsid w:val="008A4E88"/>
    <w:rsid w:val="008A5EED"/>
    <w:rsid w:val="008B2C37"/>
    <w:rsid w:val="008B4364"/>
    <w:rsid w:val="008B6D02"/>
    <w:rsid w:val="008B7D89"/>
    <w:rsid w:val="008C0334"/>
    <w:rsid w:val="008C25C6"/>
    <w:rsid w:val="008C4BA1"/>
    <w:rsid w:val="008D0E99"/>
    <w:rsid w:val="008D11C1"/>
    <w:rsid w:val="008D5A7C"/>
    <w:rsid w:val="008E3DA0"/>
    <w:rsid w:val="00903324"/>
    <w:rsid w:val="00906E4F"/>
    <w:rsid w:val="0092117A"/>
    <w:rsid w:val="00922134"/>
    <w:rsid w:val="00924A47"/>
    <w:rsid w:val="00927668"/>
    <w:rsid w:val="009439C4"/>
    <w:rsid w:val="009479BE"/>
    <w:rsid w:val="00956E42"/>
    <w:rsid w:val="009633C5"/>
    <w:rsid w:val="0097050D"/>
    <w:rsid w:val="00972F71"/>
    <w:rsid w:val="009737C0"/>
    <w:rsid w:val="00981838"/>
    <w:rsid w:val="00991904"/>
    <w:rsid w:val="009938B6"/>
    <w:rsid w:val="00993B14"/>
    <w:rsid w:val="0099645A"/>
    <w:rsid w:val="009A3637"/>
    <w:rsid w:val="009A59D2"/>
    <w:rsid w:val="009D035A"/>
    <w:rsid w:val="009E3C35"/>
    <w:rsid w:val="009E3E1A"/>
    <w:rsid w:val="009F61C8"/>
    <w:rsid w:val="009F6D43"/>
    <w:rsid w:val="00A04914"/>
    <w:rsid w:val="00A04D8B"/>
    <w:rsid w:val="00A065A4"/>
    <w:rsid w:val="00A114C5"/>
    <w:rsid w:val="00A17796"/>
    <w:rsid w:val="00A20BE1"/>
    <w:rsid w:val="00A25CD5"/>
    <w:rsid w:val="00A36314"/>
    <w:rsid w:val="00A43483"/>
    <w:rsid w:val="00A43F50"/>
    <w:rsid w:val="00A441A3"/>
    <w:rsid w:val="00A453AC"/>
    <w:rsid w:val="00A5068A"/>
    <w:rsid w:val="00A563AF"/>
    <w:rsid w:val="00A564FF"/>
    <w:rsid w:val="00A565E6"/>
    <w:rsid w:val="00A64058"/>
    <w:rsid w:val="00A64068"/>
    <w:rsid w:val="00A83EF8"/>
    <w:rsid w:val="00A93DB2"/>
    <w:rsid w:val="00AA0F7B"/>
    <w:rsid w:val="00AA1075"/>
    <w:rsid w:val="00AA4A52"/>
    <w:rsid w:val="00AA5A54"/>
    <w:rsid w:val="00AB1927"/>
    <w:rsid w:val="00AC78B2"/>
    <w:rsid w:val="00AD10A5"/>
    <w:rsid w:val="00AD11E1"/>
    <w:rsid w:val="00AD27DE"/>
    <w:rsid w:val="00AD3C2C"/>
    <w:rsid w:val="00AF50A6"/>
    <w:rsid w:val="00AF56DD"/>
    <w:rsid w:val="00AF6DF1"/>
    <w:rsid w:val="00B05E31"/>
    <w:rsid w:val="00B12972"/>
    <w:rsid w:val="00B14A9D"/>
    <w:rsid w:val="00B1643A"/>
    <w:rsid w:val="00B211D8"/>
    <w:rsid w:val="00B21C54"/>
    <w:rsid w:val="00B45A15"/>
    <w:rsid w:val="00B47AFD"/>
    <w:rsid w:val="00B50B8E"/>
    <w:rsid w:val="00B55F74"/>
    <w:rsid w:val="00B56DA6"/>
    <w:rsid w:val="00B61E61"/>
    <w:rsid w:val="00B72B19"/>
    <w:rsid w:val="00B85071"/>
    <w:rsid w:val="00B95F3F"/>
    <w:rsid w:val="00B96FCF"/>
    <w:rsid w:val="00BA3BC3"/>
    <w:rsid w:val="00BA6E4E"/>
    <w:rsid w:val="00BB2207"/>
    <w:rsid w:val="00BB2E85"/>
    <w:rsid w:val="00BC10AF"/>
    <w:rsid w:val="00BD102D"/>
    <w:rsid w:val="00BD3060"/>
    <w:rsid w:val="00BD3609"/>
    <w:rsid w:val="00BD5E58"/>
    <w:rsid w:val="00BD7634"/>
    <w:rsid w:val="00BE4EB5"/>
    <w:rsid w:val="00BE6B96"/>
    <w:rsid w:val="00BE7BDE"/>
    <w:rsid w:val="00BE7FED"/>
    <w:rsid w:val="00BF0636"/>
    <w:rsid w:val="00BF2D98"/>
    <w:rsid w:val="00BF4091"/>
    <w:rsid w:val="00BF4E6B"/>
    <w:rsid w:val="00C02C97"/>
    <w:rsid w:val="00C03AAA"/>
    <w:rsid w:val="00C04254"/>
    <w:rsid w:val="00C12693"/>
    <w:rsid w:val="00C170EA"/>
    <w:rsid w:val="00C20B52"/>
    <w:rsid w:val="00C21085"/>
    <w:rsid w:val="00C212CD"/>
    <w:rsid w:val="00C228A2"/>
    <w:rsid w:val="00C236A2"/>
    <w:rsid w:val="00C24801"/>
    <w:rsid w:val="00C33793"/>
    <w:rsid w:val="00C378E1"/>
    <w:rsid w:val="00C42C9E"/>
    <w:rsid w:val="00C446D5"/>
    <w:rsid w:val="00C45A11"/>
    <w:rsid w:val="00C52D43"/>
    <w:rsid w:val="00C5341C"/>
    <w:rsid w:val="00C548EC"/>
    <w:rsid w:val="00C61132"/>
    <w:rsid w:val="00C61F31"/>
    <w:rsid w:val="00C70DF0"/>
    <w:rsid w:val="00C74503"/>
    <w:rsid w:val="00C760E7"/>
    <w:rsid w:val="00C83215"/>
    <w:rsid w:val="00C9199E"/>
    <w:rsid w:val="00C969D2"/>
    <w:rsid w:val="00CA1637"/>
    <w:rsid w:val="00CA20D2"/>
    <w:rsid w:val="00CA46A1"/>
    <w:rsid w:val="00CB4ABD"/>
    <w:rsid w:val="00CC1DE1"/>
    <w:rsid w:val="00CE0A34"/>
    <w:rsid w:val="00CE216C"/>
    <w:rsid w:val="00CE277C"/>
    <w:rsid w:val="00CE33B5"/>
    <w:rsid w:val="00CE58D6"/>
    <w:rsid w:val="00CF0BC8"/>
    <w:rsid w:val="00CF2556"/>
    <w:rsid w:val="00CF4CAF"/>
    <w:rsid w:val="00CF5800"/>
    <w:rsid w:val="00D0337B"/>
    <w:rsid w:val="00D03590"/>
    <w:rsid w:val="00D1099C"/>
    <w:rsid w:val="00D13EE0"/>
    <w:rsid w:val="00D15AED"/>
    <w:rsid w:val="00D16190"/>
    <w:rsid w:val="00D17CDB"/>
    <w:rsid w:val="00D258A6"/>
    <w:rsid w:val="00D26D38"/>
    <w:rsid w:val="00D402B8"/>
    <w:rsid w:val="00D50C8B"/>
    <w:rsid w:val="00D5293D"/>
    <w:rsid w:val="00D579BC"/>
    <w:rsid w:val="00D6155B"/>
    <w:rsid w:val="00D63DBA"/>
    <w:rsid w:val="00D7081F"/>
    <w:rsid w:val="00D72413"/>
    <w:rsid w:val="00D744AE"/>
    <w:rsid w:val="00D75300"/>
    <w:rsid w:val="00D93258"/>
    <w:rsid w:val="00D95A4C"/>
    <w:rsid w:val="00D969FD"/>
    <w:rsid w:val="00D96CA9"/>
    <w:rsid w:val="00DA0C89"/>
    <w:rsid w:val="00DA26E1"/>
    <w:rsid w:val="00DA48D9"/>
    <w:rsid w:val="00DA6E30"/>
    <w:rsid w:val="00DA75E9"/>
    <w:rsid w:val="00DA7601"/>
    <w:rsid w:val="00DB49D3"/>
    <w:rsid w:val="00DB5C86"/>
    <w:rsid w:val="00DB7F50"/>
    <w:rsid w:val="00DC6970"/>
    <w:rsid w:val="00DD1B50"/>
    <w:rsid w:val="00DF2BE2"/>
    <w:rsid w:val="00DF3E36"/>
    <w:rsid w:val="00DF7B8C"/>
    <w:rsid w:val="00E010CD"/>
    <w:rsid w:val="00E02863"/>
    <w:rsid w:val="00E056D9"/>
    <w:rsid w:val="00E07E1E"/>
    <w:rsid w:val="00E10A5C"/>
    <w:rsid w:val="00E15F43"/>
    <w:rsid w:val="00E212B3"/>
    <w:rsid w:val="00E21D74"/>
    <w:rsid w:val="00E22339"/>
    <w:rsid w:val="00E31F6D"/>
    <w:rsid w:val="00E328F1"/>
    <w:rsid w:val="00E32C15"/>
    <w:rsid w:val="00E32CD5"/>
    <w:rsid w:val="00E43ED2"/>
    <w:rsid w:val="00E55DD8"/>
    <w:rsid w:val="00E65056"/>
    <w:rsid w:val="00E66EC4"/>
    <w:rsid w:val="00E66F00"/>
    <w:rsid w:val="00E70445"/>
    <w:rsid w:val="00E8341D"/>
    <w:rsid w:val="00E92C25"/>
    <w:rsid w:val="00E9409B"/>
    <w:rsid w:val="00EA0066"/>
    <w:rsid w:val="00EA00C8"/>
    <w:rsid w:val="00EA1EDB"/>
    <w:rsid w:val="00EA22C8"/>
    <w:rsid w:val="00EA5FD9"/>
    <w:rsid w:val="00EA77B2"/>
    <w:rsid w:val="00EA7F5A"/>
    <w:rsid w:val="00EB6682"/>
    <w:rsid w:val="00EB6E88"/>
    <w:rsid w:val="00EC69DB"/>
    <w:rsid w:val="00EC7AF0"/>
    <w:rsid w:val="00ED1C76"/>
    <w:rsid w:val="00EE24BC"/>
    <w:rsid w:val="00EE5E5D"/>
    <w:rsid w:val="00EF2001"/>
    <w:rsid w:val="00EF3A20"/>
    <w:rsid w:val="00EF5089"/>
    <w:rsid w:val="00F15783"/>
    <w:rsid w:val="00F176B1"/>
    <w:rsid w:val="00F20615"/>
    <w:rsid w:val="00F21E6F"/>
    <w:rsid w:val="00F2337A"/>
    <w:rsid w:val="00F25103"/>
    <w:rsid w:val="00F32715"/>
    <w:rsid w:val="00F36215"/>
    <w:rsid w:val="00F53421"/>
    <w:rsid w:val="00F54907"/>
    <w:rsid w:val="00F55C86"/>
    <w:rsid w:val="00F56F20"/>
    <w:rsid w:val="00F61A2F"/>
    <w:rsid w:val="00F65D58"/>
    <w:rsid w:val="00F672D1"/>
    <w:rsid w:val="00F7288E"/>
    <w:rsid w:val="00F72F16"/>
    <w:rsid w:val="00F7593C"/>
    <w:rsid w:val="00F75DB4"/>
    <w:rsid w:val="00F80C8E"/>
    <w:rsid w:val="00F81262"/>
    <w:rsid w:val="00F8158F"/>
    <w:rsid w:val="00F83718"/>
    <w:rsid w:val="00F83E76"/>
    <w:rsid w:val="00F84789"/>
    <w:rsid w:val="00F92354"/>
    <w:rsid w:val="00F934C0"/>
    <w:rsid w:val="00FA2FCE"/>
    <w:rsid w:val="00FB0DC0"/>
    <w:rsid w:val="00FC5C58"/>
    <w:rsid w:val="00FC5E29"/>
    <w:rsid w:val="00FC6511"/>
    <w:rsid w:val="00FD4A12"/>
    <w:rsid w:val="00FE163F"/>
    <w:rsid w:val="00FE16FB"/>
    <w:rsid w:val="00FE2AA6"/>
    <w:rsid w:val="00FE7988"/>
    <w:rsid w:val="00FF1BA0"/>
    <w:rsid w:val="00FF2C43"/>
    <w:rsid w:val="00FF524E"/>
    <w:rsid w:val="00FF7D60"/>
    <w:rsid w:val="122711A1"/>
    <w:rsid w:val="13AC5A6B"/>
    <w:rsid w:val="39D06F00"/>
    <w:rsid w:val="4085DC8C"/>
    <w:rsid w:val="44515853"/>
    <w:rsid w:val="48820778"/>
    <w:rsid w:val="5A625AC3"/>
    <w:rsid w:val="64BA739F"/>
    <w:rsid w:val="64E214A8"/>
    <w:rsid w:val="695F4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8546C"/>
  <w15:chartTrackingRefBased/>
  <w15:docId w15:val="{042859F9-5E1A-4429-AD26-6BB2D90D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3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3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3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3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3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3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3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3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3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3FE"/>
    <w:rPr>
      <w:rFonts w:eastAsiaTheme="majorEastAsia" w:cstheme="majorBidi"/>
      <w:color w:val="272727" w:themeColor="text1" w:themeTint="D8"/>
    </w:rPr>
  </w:style>
  <w:style w:type="paragraph" w:styleId="Title">
    <w:name w:val="Title"/>
    <w:basedOn w:val="Normal"/>
    <w:next w:val="Normal"/>
    <w:link w:val="TitleChar"/>
    <w:uiPriority w:val="10"/>
    <w:qFormat/>
    <w:rsid w:val="005A53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3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3FE"/>
    <w:pPr>
      <w:spacing w:before="160"/>
      <w:jc w:val="center"/>
    </w:pPr>
    <w:rPr>
      <w:i/>
      <w:iCs/>
      <w:color w:val="404040" w:themeColor="text1" w:themeTint="BF"/>
    </w:rPr>
  </w:style>
  <w:style w:type="character" w:customStyle="1" w:styleId="QuoteChar">
    <w:name w:val="Quote Char"/>
    <w:basedOn w:val="DefaultParagraphFont"/>
    <w:link w:val="Quote"/>
    <w:uiPriority w:val="29"/>
    <w:rsid w:val="005A53FE"/>
    <w:rPr>
      <w:i/>
      <w:iCs/>
      <w:color w:val="404040" w:themeColor="text1" w:themeTint="BF"/>
    </w:rPr>
  </w:style>
  <w:style w:type="paragraph" w:styleId="ListParagraph">
    <w:name w:val="List Paragraph"/>
    <w:basedOn w:val="Normal"/>
    <w:uiPriority w:val="34"/>
    <w:qFormat/>
    <w:rsid w:val="005A53FE"/>
    <w:pPr>
      <w:ind w:left="720"/>
      <w:contextualSpacing/>
    </w:pPr>
  </w:style>
  <w:style w:type="character" w:styleId="IntenseEmphasis">
    <w:name w:val="Intense Emphasis"/>
    <w:basedOn w:val="DefaultParagraphFont"/>
    <w:uiPriority w:val="21"/>
    <w:qFormat/>
    <w:rsid w:val="005A53FE"/>
    <w:rPr>
      <w:i/>
      <w:iCs/>
      <w:color w:val="0F4761" w:themeColor="accent1" w:themeShade="BF"/>
    </w:rPr>
  </w:style>
  <w:style w:type="paragraph" w:styleId="IntenseQuote">
    <w:name w:val="Intense Quote"/>
    <w:basedOn w:val="Normal"/>
    <w:next w:val="Normal"/>
    <w:link w:val="IntenseQuoteChar"/>
    <w:uiPriority w:val="30"/>
    <w:qFormat/>
    <w:rsid w:val="005A53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3FE"/>
    <w:rPr>
      <w:i/>
      <w:iCs/>
      <w:color w:val="0F4761" w:themeColor="accent1" w:themeShade="BF"/>
    </w:rPr>
  </w:style>
  <w:style w:type="character" w:styleId="IntenseReference">
    <w:name w:val="Intense Reference"/>
    <w:basedOn w:val="DefaultParagraphFont"/>
    <w:uiPriority w:val="32"/>
    <w:qFormat/>
    <w:rsid w:val="005A53FE"/>
    <w:rPr>
      <w:b/>
      <w:bCs/>
      <w:smallCaps/>
      <w:color w:val="0F4761" w:themeColor="accent1" w:themeShade="BF"/>
      <w:spacing w:val="5"/>
    </w:rPr>
  </w:style>
  <w:style w:type="character" w:styleId="CommentReference">
    <w:name w:val="annotation reference"/>
    <w:basedOn w:val="DefaultParagraphFont"/>
    <w:uiPriority w:val="99"/>
    <w:semiHidden/>
    <w:unhideWhenUsed/>
    <w:rsid w:val="005A53FE"/>
    <w:rPr>
      <w:sz w:val="16"/>
      <w:szCs w:val="16"/>
    </w:rPr>
  </w:style>
  <w:style w:type="paragraph" w:styleId="CommentText">
    <w:name w:val="annotation text"/>
    <w:basedOn w:val="Normal"/>
    <w:link w:val="CommentTextChar"/>
    <w:uiPriority w:val="99"/>
    <w:unhideWhenUsed/>
    <w:rsid w:val="005A53FE"/>
    <w:pPr>
      <w:spacing w:line="240" w:lineRule="auto"/>
    </w:pPr>
    <w:rPr>
      <w:sz w:val="20"/>
      <w:szCs w:val="20"/>
    </w:rPr>
  </w:style>
  <w:style w:type="character" w:customStyle="1" w:styleId="CommentTextChar">
    <w:name w:val="Comment Text Char"/>
    <w:basedOn w:val="DefaultParagraphFont"/>
    <w:link w:val="CommentText"/>
    <w:uiPriority w:val="99"/>
    <w:rsid w:val="005A53FE"/>
    <w:rPr>
      <w:sz w:val="20"/>
      <w:szCs w:val="20"/>
    </w:rPr>
  </w:style>
  <w:style w:type="paragraph" w:styleId="CommentSubject">
    <w:name w:val="annotation subject"/>
    <w:basedOn w:val="CommentText"/>
    <w:next w:val="CommentText"/>
    <w:link w:val="CommentSubjectChar"/>
    <w:uiPriority w:val="99"/>
    <w:semiHidden/>
    <w:unhideWhenUsed/>
    <w:rsid w:val="005A53FE"/>
    <w:rPr>
      <w:b/>
      <w:bCs/>
    </w:rPr>
  </w:style>
  <w:style w:type="character" w:customStyle="1" w:styleId="CommentSubjectChar">
    <w:name w:val="Comment Subject Char"/>
    <w:basedOn w:val="CommentTextChar"/>
    <w:link w:val="CommentSubject"/>
    <w:uiPriority w:val="99"/>
    <w:semiHidden/>
    <w:rsid w:val="005A53FE"/>
    <w:rPr>
      <w:b/>
      <w:bCs/>
      <w:sz w:val="20"/>
      <w:szCs w:val="20"/>
    </w:rPr>
  </w:style>
  <w:style w:type="character" w:styleId="Mention">
    <w:name w:val="Mention"/>
    <w:basedOn w:val="DefaultParagraphFont"/>
    <w:uiPriority w:val="99"/>
    <w:unhideWhenUsed/>
    <w:rsid w:val="001B2649"/>
    <w:rPr>
      <w:color w:val="2B579A"/>
      <w:shd w:val="clear" w:color="auto" w:fill="E1DFDD"/>
    </w:rPr>
  </w:style>
  <w:style w:type="paragraph" w:styleId="Revision">
    <w:name w:val="Revision"/>
    <w:hidden/>
    <w:uiPriority w:val="99"/>
    <w:semiHidden/>
    <w:rsid w:val="0002765A"/>
    <w:pPr>
      <w:spacing w:after="0" w:line="240" w:lineRule="auto"/>
    </w:pPr>
  </w:style>
  <w:style w:type="paragraph" w:styleId="Header">
    <w:name w:val="header"/>
    <w:basedOn w:val="Normal"/>
    <w:link w:val="HeaderChar"/>
    <w:uiPriority w:val="99"/>
    <w:unhideWhenUsed/>
    <w:rsid w:val="0017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E00"/>
  </w:style>
  <w:style w:type="paragraph" w:styleId="Footer">
    <w:name w:val="footer"/>
    <w:basedOn w:val="Normal"/>
    <w:link w:val="FooterChar"/>
    <w:uiPriority w:val="99"/>
    <w:unhideWhenUsed/>
    <w:rsid w:val="0017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E00"/>
  </w:style>
  <w:style w:type="table" w:styleId="TableGrid">
    <w:name w:val="Table Grid"/>
    <w:basedOn w:val="TableNormal"/>
    <w:uiPriority w:val="39"/>
    <w:rsid w:val="009E3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B6957"/>
  </w:style>
  <w:style w:type="paragraph" w:customStyle="1" w:styleId="paragraph">
    <w:name w:val="paragraph"/>
    <w:basedOn w:val="Normal"/>
    <w:rsid w:val="0020581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20581E"/>
  </w:style>
  <w:style w:type="character" w:styleId="Hyperlink">
    <w:name w:val="Hyperlink"/>
    <w:basedOn w:val="DefaultParagraphFont"/>
    <w:uiPriority w:val="99"/>
    <w:unhideWhenUsed/>
    <w:rsid w:val="00703DFB"/>
    <w:rPr>
      <w:color w:val="467886" w:themeColor="hyperlink"/>
      <w:u w:val="single"/>
    </w:rPr>
  </w:style>
  <w:style w:type="character" w:styleId="UnresolvedMention">
    <w:name w:val="Unresolved Mention"/>
    <w:basedOn w:val="DefaultParagraphFont"/>
    <w:uiPriority w:val="99"/>
    <w:semiHidden/>
    <w:unhideWhenUsed/>
    <w:rsid w:val="00703DFB"/>
    <w:rPr>
      <w:color w:val="605E5C"/>
      <w:shd w:val="clear" w:color="auto" w:fill="E1DFDD"/>
    </w:rPr>
  </w:style>
  <w:style w:type="paragraph" w:customStyle="1" w:styleId="BasicParagraph">
    <w:name w:val="[Basic Paragraph]"/>
    <w:basedOn w:val="Normal"/>
    <w:uiPriority w:val="99"/>
    <w:rsid w:val="008B6D02"/>
    <w:pPr>
      <w:autoSpaceDE w:val="0"/>
      <w:autoSpaceDN w:val="0"/>
      <w:adjustRightInd w:val="0"/>
      <w:spacing w:after="0" w:line="288" w:lineRule="auto"/>
      <w:textAlignment w:val="center"/>
    </w:pPr>
    <w:rPr>
      <w:rFonts w:ascii="MinionPro-Regular" w:hAnsi="MinionPro-Regular" w:cs="MinionPro-Regular"/>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730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ibtrozi-pi.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9211a3b-6a16-47df-9312-71c1f7dc7c87">
      <Terms xmlns="http://schemas.microsoft.com/office/infopath/2007/PartnerControls"/>
    </lcf76f155ced4ddcb4097134ff3c332f>
    <TaxCatchAll xmlns="4a858776-d117-4af9-b5c8-84a46ef9e195"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ECB8FC19E9C8439FCA8BF39E50EB35" ma:contentTypeVersion="13" ma:contentTypeDescription="Create a new document." ma:contentTypeScope="" ma:versionID="bc8237c1f21014f6a634cf311291532e">
  <xsd:schema xmlns:xsd="http://www.w3.org/2001/XMLSchema" xmlns:xs="http://www.w3.org/2001/XMLSchema" xmlns:p="http://schemas.microsoft.com/office/2006/metadata/properties" xmlns:ns1="http://schemas.microsoft.com/sharepoint/v3" xmlns:ns2="c9211a3b-6a16-47df-9312-71c1f7dc7c87" xmlns:ns3="4a858776-d117-4af9-b5c8-84a46ef9e195" targetNamespace="http://schemas.microsoft.com/office/2006/metadata/properties" ma:root="true" ma:fieldsID="bb71c3a622d4ef52da1b32570dbb5dca" ns1:_="" ns2:_="" ns3:_="">
    <xsd:import namespace="http://schemas.microsoft.com/sharepoint/v3"/>
    <xsd:import namespace="c9211a3b-6a16-47df-9312-71c1f7dc7c87"/>
    <xsd:import namespace="4a858776-d117-4af9-b5c8-84a46ef9e1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211a3b-6a16-47df-9312-71c1f7dc7c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7f3e56-d282-48d1-af59-e5dff1f085b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858776-d117-4af9-b5c8-84a46ef9e1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b921de-3e31-45f6-8e05-f7dacc1b6a62}" ma:internalName="TaxCatchAll" ma:showField="CatchAllData" ma:web="4a858776-d117-4af9-b5c8-84a46ef9e1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26E50-51D5-45C5-9E5E-652E2AA2FBDF}">
  <ds:schemaRefs>
    <ds:schemaRef ds:uri="http://schemas.microsoft.com/sharepoint/v3/contenttype/forms"/>
  </ds:schemaRefs>
</ds:datastoreItem>
</file>

<file path=customXml/itemProps2.xml><?xml version="1.0" encoding="utf-8"?>
<ds:datastoreItem xmlns:ds="http://schemas.openxmlformats.org/officeDocument/2006/customXml" ds:itemID="{865C9A34-5E1B-4FE2-9F43-53BC16238F6B}">
  <ds:schemaRefs>
    <ds:schemaRef ds:uri="http://schemas.microsoft.com/office/2006/metadata/properties"/>
    <ds:schemaRef ds:uri="http://schemas.microsoft.com/office/infopath/2007/PartnerControls"/>
    <ds:schemaRef ds:uri="http://schemas.microsoft.com/sharepoint/v3"/>
    <ds:schemaRef ds:uri="c9211a3b-6a16-47df-9312-71c1f7dc7c87"/>
    <ds:schemaRef ds:uri="4a858776-d117-4af9-b5c8-84a46ef9e195"/>
  </ds:schemaRefs>
</ds:datastoreItem>
</file>

<file path=customXml/itemProps3.xml><?xml version="1.0" encoding="utf-8"?>
<ds:datastoreItem xmlns:ds="http://schemas.openxmlformats.org/officeDocument/2006/customXml" ds:itemID="{0B626CAE-26A2-4EF4-93DF-6F945F9BA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211a3b-6a16-47df-9312-71c1f7dc7c87"/>
    <ds:schemaRef ds:uri="4a858776-d117-4af9-b5c8-84a46ef9e1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2151</Words>
  <Characters>12500</Characters>
  <Application>Microsoft Office Word</Application>
  <DocSecurity>0</DocSecurity>
  <Lines>186</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Rivera</dc:creator>
  <cp:keywords/>
  <dc:description/>
  <cp:lastModifiedBy>Jordan Blackburn</cp:lastModifiedBy>
  <cp:revision>4</cp:revision>
  <cp:lastPrinted>2026-05-28T18:50:00Z</cp:lastPrinted>
  <dcterms:created xsi:type="dcterms:W3CDTF">2026-08-20T22:16:00Z</dcterms:created>
  <dcterms:modified xsi:type="dcterms:W3CDTF">2026-08-20T22:17:00Z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0x010100D9ECB8FC19E9C8439FCA8BF39E50EB35</vt:lpwstr>
  </property>
  <property fmtid="{D5CDD505-2E9C-101B-9397-08002B2CF9AE}" pid="3" name="MediaServiceImageTags">
    <vt:lpwstr/>
  </property>
</Properties>
</file>